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A2A" w:rsidRPr="00B665B2" w:rsidRDefault="00427D02">
      <w:pPr>
        <w:ind w:left="0" w:hanging="2"/>
        <w:jc w:val="center"/>
        <w:rPr>
          <w:rFonts w:ascii="Arial Narrow" w:eastAsia="Arial Narrow" w:hAnsi="Arial Narrow" w:cs="Arial Narrow"/>
        </w:rPr>
      </w:pPr>
      <w:bookmarkStart w:id="0" w:name="_GoBack"/>
      <w:bookmarkEnd w:id="0"/>
      <w:r w:rsidRPr="00B665B2">
        <w:rPr>
          <w:rFonts w:ascii="Arial Narrow" w:eastAsia="Arial Narrow" w:hAnsi="Arial Narrow" w:cs="Arial Narrow"/>
        </w:rPr>
        <w:t>SUPPLY CONTRACT NOTICE</w:t>
      </w:r>
      <w:r w:rsidRPr="00B665B2">
        <w:rPr>
          <w:rFonts w:ascii="Arial Narrow" w:eastAsia="Arial Narrow" w:hAnsi="Arial Narrow" w:cs="Arial Narrow"/>
          <w:b/>
        </w:rPr>
        <w:t xml:space="preserve"> / OBAVIJEST O UGOVORU O NABAVCI ROBA</w:t>
      </w:r>
      <w:r w:rsidRPr="00B665B2">
        <w:rPr>
          <w:noProof/>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25400</wp:posOffset>
                </wp:positionV>
                <wp:extent cx="5943600" cy="22225"/>
                <wp:effectExtent l="0" t="0" r="0" b="0"/>
                <wp:wrapNone/>
                <wp:docPr id="3" name="Ravni poveznik sa strelicom 3"/>
                <wp:cNvGraphicFramePr/>
                <a:graphic xmlns:a="http://schemas.openxmlformats.org/drawingml/2006/main">
                  <a:graphicData uri="http://schemas.microsoft.com/office/word/2010/wordprocessingShape">
                    <wps:wsp>
                      <wps:cNvCnPr/>
                      <wps:spPr>
                        <a:xfrm>
                          <a:off x="2374200" y="3779683"/>
                          <a:ext cx="5943600" cy="635"/>
                        </a:xfrm>
                        <a:prstGeom prst="straightConnector1">
                          <a:avLst/>
                        </a:prstGeom>
                        <a:solidFill>
                          <a:srgbClr val="FFFFFF"/>
                        </a:solidFill>
                        <a:ln w="22225" cap="flat" cmpd="sng">
                          <a:solidFill>
                            <a:srgbClr val="D4D4D4"/>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5943600" cy="22225"/>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943600" cy="22225"/>
                        </a:xfrm>
                        <a:prstGeom prst="rect"/>
                        <a:ln/>
                      </pic:spPr>
                    </pic:pic>
                  </a:graphicData>
                </a:graphic>
              </wp:anchor>
            </w:drawing>
          </mc:Fallback>
        </mc:AlternateContent>
      </w:r>
    </w:p>
    <w:p w:rsidR="007F3A2A" w:rsidRPr="00B665B2" w:rsidRDefault="00427D02">
      <w:pPr>
        <w:spacing w:after="0"/>
        <w:ind w:left="0" w:hanging="2"/>
        <w:jc w:val="center"/>
        <w:rPr>
          <w:rFonts w:ascii="Arial Narrow" w:eastAsia="Arial Narrow" w:hAnsi="Arial Narrow" w:cs="Arial Narrow"/>
        </w:rPr>
      </w:pPr>
      <w:r w:rsidRPr="00B665B2">
        <w:rPr>
          <w:rFonts w:ascii="Arial Narrow" w:eastAsia="Arial Narrow" w:hAnsi="Arial Narrow" w:cs="Arial Narrow"/>
        </w:rPr>
        <w:t>within the project “</w:t>
      </w:r>
      <w:r w:rsidR="00E43446" w:rsidRPr="00B665B2">
        <w:rPr>
          <w:rFonts w:ascii="Arial Narrow" w:eastAsia="Arial Narrow" w:hAnsi="Arial Narrow" w:cs="Arial Narrow"/>
        </w:rPr>
        <w:t xml:space="preserve">HEPSC-Healthy Eating Preschools Children </w:t>
      </w:r>
      <w:r w:rsidRPr="00B665B2">
        <w:rPr>
          <w:rFonts w:ascii="Arial Narrow" w:eastAsia="Arial Narrow" w:hAnsi="Arial Narrow" w:cs="Arial Narrow"/>
        </w:rPr>
        <w:t xml:space="preserve">“, Contract number </w:t>
      </w:r>
      <w:r w:rsidR="00E43446" w:rsidRPr="00B665B2">
        <w:rPr>
          <w:rFonts w:ascii="Arial Narrow" w:eastAsia="Arial Narrow" w:hAnsi="Arial Narrow" w:cs="Arial Narrow"/>
          <w:b/>
        </w:rPr>
        <w:t>HR-BA-ME527</w:t>
      </w:r>
    </w:p>
    <w:p w:rsidR="007F3A2A" w:rsidRPr="00B665B2" w:rsidRDefault="00427D02">
      <w:pPr>
        <w:spacing w:after="0"/>
        <w:ind w:left="0" w:hanging="2"/>
        <w:jc w:val="center"/>
        <w:rPr>
          <w:rFonts w:ascii="Arial Narrow" w:eastAsia="Arial Narrow" w:hAnsi="Arial Narrow" w:cs="Arial Narrow"/>
        </w:rPr>
      </w:pPr>
      <w:bookmarkStart w:id="1" w:name="_heading=h.gjdgxs" w:colFirst="0" w:colLast="0"/>
      <w:bookmarkEnd w:id="1"/>
      <w:r w:rsidRPr="00B665B2">
        <w:rPr>
          <w:rFonts w:ascii="Arial Narrow" w:eastAsia="Arial Narrow" w:hAnsi="Arial Narrow" w:cs="Arial Narrow"/>
        </w:rPr>
        <w:t>/</w:t>
      </w:r>
      <w:r w:rsidRPr="00B665B2">
        <w:rPr>
          <w:rFonts w:ascii="Arial Narrow" w:eastAsia="Arial Narrow" w:hAnsi="Arial Narrow" w:cs="Arial Narrow"/>
          <w:b/>
        </w:rPr>
        <w:t xml:space="preserve"> u okviru projekta „</w:t>
      </w:r>
      <w:r w:rsidR="00E43446" w:rsidRPr="00B665B2">
        <w:rPr>
          <w:rFonts w:ascii="Arial Narrow" w:eastAsia="Arial Narrow" w:hAnsi="Arial Narrow" w:cs="Arial Narrow"/>
          <w:b/>
        </w:rPr>
        <w:t xml:space="preserve">HEPSC-Zdrava Ishrana Predškolske djece </w:t>
      </w:r>
      <w:r w:rsidRPr="00B665B2">
        <w:rPr>
          <w:rFonts w:ascii="Arial Narrow" w:eastAsia="Arial Narrow" w:hAnsi="Arial Narrow" w:cs="Arial Narrow"/>
          <w:b/>
        </w:rPr>
        <w:t xml:space="preserve">“ Ugovor broj </w:t>
      </w:r>
      <w:r w:rsidR="00E43446" w:rsidRPr="00B665B2">
        <w:rPr>
          <w:rFonts w:ascii="Arial Narrow" w:eastAsia="Arial Narrow" w:hAnsi="Arial Narrow" w:cs="Arial Narrow"/>
          <w:b/>
        </w:rPr>
        <w:t>HR-BA-ME527</w:t>
      </w:r>
    </w:p>
    <w:p w:rsidR="000D1A4E" w:rsidRDefault="000D1A4E" w:rsidP="000D1A4E">
      <w:pPr>
        <w:ind w:left="0" w:hanging="2"/>
        <w:jc w:val="both"/>
        <w:rPr>
          <w:rFonts w:ascii="Arial Narrow" w:eastAsia="Arial Narrow" w:hAnsi="Arial Narrow" w:cs="Arial Narrow"/>
        </w:rPr>
      </w:pPr>
      <w:bookmarkStart w:id="2" w:name="_heading=h.30j0zll" w:colFirst="0" w:colLast="0"/>
      <w:bookmarkEnd w:id="2"/>
    </w:p>
    <w:p w:rsidR="00B665B2" w:rsidRDefault="00B665B2" w:rsidP="000D1A4E">
      <w:pPr>
        <w:ind w:left="0" w:hanging="2"/>
        <w:jc w:val="both"/>
        <w:rPr>
          <w:rFonts w:ascii="Arial Narrow" w:eastAsia="Arial Narrow" w:hAnsi="Arial Narrow" w:cs="Arial Narrow"/>
        </w:rPr>
      </w:pPr>
    </w:p>
    <w:p w:rsidR="007F3A2A" w:rsidRPr="00B665B2" w:rsidRDefault="000D1A4E" w:rsidP="000D1A4E">
      <w:pPr>
        <w:ind w:left="0" w:hanging="2"/>
        <w:jc w:val="both"/>
        <w:rPr>
          <w:rFonts w:ascii="Arial Narrow" w:eastAsia="Arial Narrow" w:hAnsi="Arial Narrow" w:cs="Arial Narrow"/>
          <w:sz w:val="22"/>
          <w:szCs w:val="22"/>
        </w:rPr>
      </w:pPr>
      <w:r w:rsidRPr="00B665B2">
        <w:rPr>
          <w:rFonts w:ascii="Arial Narrow" w:eastAsia="Arial Narrow" w:hAnsi="Arial Narrow" w:cs="Arial Narrow"/>
          <w:sz w:val="22"/>
          <w:szCs w:val="22"/>
        </w:rPr>
        <w:t xml:space="preserve">Institute of Public Health of the Federation of Bosnia and Herzegovina, Titova 9, 71000 Sarajevo, Bosnia and Herzegovina </w:t>
      </w:r>
      <w:r w:rsidR="00427D02" w:rsidRPr="00B665B2">
        <w:rPr>
          <w:rFonts w:ascii="Arial Narrow" w:eastAsia="Arial Narrow" w:hAnsi="Arial Narrow" w:cs="Arial Narrow"/>
          <w:sz w:val="22"/>
          <w:szCs w:val="22"/>
        </w:rPr>
        <w:t xml:space="preserve">/ </w:t>
      </w:r>
      <w:r w:rsidR="00E43446" w:rsidRPr="00B665B2">
        <w:rPr>
          <w:rFonts w:ascii="Arial Narrow" w:eastAsia="Arial Narrow" w:hAnsi="Arial Narrow" w:cs="Arial Narrow"/>
          <w:b/>
          <w:sz w:val="22"/>
          <w:szCs w:val="22"/>
        </w:rPr>
        <w:t>Zavod za javno zdravstvo Federacije Bosne i Hercegovine, Titova 9, 71000 Sarajevo</w:t>
      </w:r>
    </w:p>
    <w:p w:rsidR="007F3A2A" w:rsidRPr="00B665B2" w:rsidRDefault="00427D02">
      <w:pPr>
        <w:numPr>
          <w:ilvl w:val="0"/>
          <w:numId w:val="2"/>
        </w:numPr>
        <w:ind w:left="0" w:hanging="2"/>
        <w:rPr>
          <w:rFonts w:ascii="Arial Narrow" w:eastAsia="Arial Narrow" w:hAnsi="Arial Narrow" w:cs="Arial Narrow"/>
          <w:sz w:val="22"/>
          <w:szCs w:val="22"/>
        </w:rPr>
      </w:pPr>
      <w:r w:rsidRPr="00B665B2">
        <w:rPr>
          <w:rFonts w:ascii="Arial Narrow" w:eastAsia="Arial Narrow" w:hAnsi="Arial Narrow" w:cs="Arial Narrow"/>
          <w:sz w:val="22"/>
          <w:szCs w:val="22"/>
        </w:rPr>
        <w:t>Publication reference</w:t>
      </w:r>
      <w:r w:rsidRPr="00B665B2">
        <w:rPr>
          <w:rFonts w:ascii="Arial Narrow" w:eastAsia="Arial Narrow" w:hAnsi="Arial Narrow" w:cs="Arial Narrow"/>
          <w:b/>
          <w:sz w:val="22"/>
          <w:szCs w:val="22"/>
        </w:rPr>
        <w:t xml:space="preserve">  / Broj objave: </w:t>
      </w:r>
      <w:r w:rsidR="000D1A4E" w:rsidRPr="00B665B2">
        <w:rPr>
          <w:rFonts w:ascii="Arial Narrow" w:eastAsia="Arial Narrow" w:hAnsi="Arial Narrow" w:cs="Arial Narrow"/>
          <w:b/>
          <w:sz w:val="22"/>
          <w:szCs w:val="22"/>
        </w:rPr>
        <w:t xml:space="preserve"> </w:t>
      </w:r>
      <w:r w:rsidR="00041701" w:rsidRPr="00B665B2">
        <w:rPr>
          <w:rFonts w:ascii="Arial Narrow" w:eastAsia="Arial Narrow" w:hAnsi="Arial Narrow" w:cs="Arial Narrow"/>
          <w:b/>
          <w:sz w:val="22"/>
          <w:szCs w:val="22"/>
        </w:rPr>
        <w:t>1</w:t>
      </w:r>
      <w:r w:rsidR="000D1A4E" w:rsidRPr="00B665B2">
        <w:rPr>
          <w:rFonts w:ascii="Arial Narrow" w:eastAsia="Arial Narrow" w:hAnsi="Arial Narrow" w:cs="Arial Narrow"/>
          <w:b/>
          <w:sz w:val="22"/>
          <w:szCs w:val="22"/>
        </w:rPr>
        <w:t xml:space="preserve"> IPA/21</w:t>
      </w:r>
    </w:p>
    <w:p w:rsidR="007F3A2A" w:rsidRPr="00B665B2" w:rsidRDefault="00427D02">
      <w:pPr>
        <w:numPr>
          <w:ilvl w:val="0"/>
          <w:numId w:val="2"/>
        </w:numPr>
        <w:ind w:left="0" w:hanging="2"/>
        <w:rPr>
          <w:rFonts w:ascii="Arial Narrow" w:eastAsia="Arial Narrow" w:hAnsi="Arial Narrow" w:cs="Arial Narrow"/>
          <w:b/>
          <w:sz w:val="22"/>
          <w:szCs w:val="22"/>
        </w:rPr>
      </w:pPr>
      <w:r w:rsidRPr="00B665B2">
        <w:rPr>
          <w:rFonts w:ascii="Arial Narrow" w:eastAsia="Arial Narrow" w:hAnsi="Arial Narrow" w:cs="Arial Narrow"/>
          <w:sz w:val="22"/>
          <w:szCs w:val="22"/>
        </w:rPr>
        <w:t>Procedure</w:t>
      </w:r>
      <w:r w:rsidRPr="00B665B2">
        <w:rPr>
          <w:rFonts w:ascii="Arial Narrow" w:eastAsia="Arial Narrow" w:hAnsi="Arial Narrow" w:cs="Arial Narrow"/>
          <w:b/>
          <w:sz w:val="22"/>
          <w:szCs w:val="22"/>
        </w:rPr>
        <w:t xml:space="preserve"> / Procedura</w:t>
      </w:r>
    </w:p>
    <w:p w:rsidR="007F3A2A" w:rsidRPr="00B665B2" w:rsidRDefault="00427D02">
      <w:pPr>
        <w:pBdr>
          <w:top w:val="nil"/>
          <w:left w:val="nil"/>
          <w:bottom w:val="nil"/>
          <w:right w:val="nil"/>
          <w:between w:val="nil"/>
        </w:pBdr>
        <w:tabs>
          <w:tab w:val="left" w:pos="709"/>
        </w:tabs>
        <w:spacing w:line="240" w:lineRule="auto"/>
        <w:ind w:left="0" w:right="360" w:hanging="2"/>
        <w:rPr>
          <w:rFonts w:ascii="Arial Narrow" w:eastAsia="Arial Narrow" w:hAnsi="Arial Narrow" w:cs="Arial Narrow"/>
          <w:color w:val="000000"/>
          <w:sz w:val="22"/>
          <w:szCs w:val="22"/>
        </w:rPr>
      </w:pPr>
      <w:r w:rsidRPr="00B665B2">
        <w:rPr>
          <w:rFonts w:ascii="Arial Narrow" w:eastAsia="Arial Narrow" w:hAnsi="Arial Narrow" w:cs="Arial Narrow"/>
          <w:color w:val="000000"/>
          <w:sz w:val="22"/>
          <w:szCs w:val="22"/>
        </w:rPr>
        <w:t>Si</w:t>
      </w:r>
      <w:r w:rsidR="00624215" w:rsidRPr="00B665B2">
        <w:rPr>
          <w:rFonts w:ascii="Arial Narrow" w:eastAsia="Arial Narrow" w:hAnsi="Arial Narrow" w:cs="Arial Narrow"/>
          <w:color w:val="000000"/>
          <w:sz w:val="22"/>
          <w:szCs w:val="22"/>
        </w:rPr>
        <w:t>mplified procurement</w:t>
      </w:r>
      <w:r w:rsidRPr="00B665B2">
        <w:rPr>
          <w:rFonts w:ascii="Arial Narrow" w:eastAsia="Arial Narrow" w:hAnsi="Arial Narrow" w:cs="Arial Narrow"/>
          <w:color w:val="000000"/>
          <w:sz w:val="22"/>
          <w:szCs w:val="22"/>
        </w:rPr>
        <w:t xml:space="preserve"> procedure / </w:t>
      </w:r>
      <w:r w:rsidR="00624215" w:rsidRPr="00B665B2">
        <w:rPr>
          <w:rFonts w:ascii="Arial Narrow" w:eastAsia="Arial Narrow" w:hAnsi="Arial Narrow" w:cs="Arial Narrow"/>
          <w:b/>
          <w:sz w:val="22"/>
          <w:szCs w:val="22"/>
        </w:rPr>
        <w:t>Pojednostavljeni postupak</w:t>
      </w:r>
    </w:p>
    <w:p w:rsidR="007F3A2A" w:rsidRPr="00B665B2" w:rsidRDefault="00427D02">
      <w:pPr>
        <w:pBdr>
          <w:top w:val="nil"/>
          <w:left w:val="nil"/>
          <w:bottom w:val="nil"/>
          <w:right w:val="nil"/>
          <w:between w:val="nil"/>
        </w:pBdr>
        <w:tabs>
          <w:tab w:val="left" w:pos="709"/>
        </w:tabs>
        <w:spacing w:line="240" w:lineRule="auto"/>
        <w:ind w:left="0" w:right="360" w:hanging="2"/>
        <w:rPr>
          <w:rFonts w:ascii="Arial Narrow" w:eastAsia="Arial Narrow" w:hAnsi="Arial Narrow" w:cs="Arial Narrow"/>
          <w:color w:val="000000"/>
          <w:sz w:val="22"/>
          <w:szCs w:val="22"/>
        </w:rPr>
      </w:pPr>
      <w:r w:rsidRPr="00B665B2">
        <w:rPr>
          <w:rFonts w:ascii="Arial Narrow" w:eastAsia="Arial Narrow" w:hAnsi="Arial Narrow" w:cs="Arial Narrow"/>
          <w:color w:val="000000"/>
          <w:sz w:val="22"/>
          <w:szCs w:val="22"/>
        </w:rPr>
        <w:t>Local open tender</w:t>
      </w:r>
      <w:r w:rsidRPr="00B665B2">
        <w:rPr>
          <w:rFonts w:ascii="Arial Narrow" w:eastAsia="Arial Narrow" w:hAnsi="Arial Narrow" w:cs="Arial Narrow"/>
          <w:b/>
          <w:color w:val="000000"/>
          <w:sz w:val="22"/>
          <w:szCs w:val="22"/>
        </w:rPr>
        <w:t xml:space="preserve">/ Lokalni otvoreni </w:t>
      </w:r>
      <w:r w:rsidR="00624215" w:rsidRPr="00B665B2">
        <w:rPr>
          <w:rFonts w:ascii="Arial Narrow" w:eastAsia="Arial Narrow" w:hAnsi="Arial Narrow" w:cs="Arial Narrow"/>
          <w:b/>
          <w:color w:val="000000"/>
          <w:sz w:val="22"/>
          <w:szCs w:val="22"/>
        </w:rPr>
        <w:t>postupak</w:t>
      </w:r>
    </w:p>
    <w:p w:rsidR="007F3A2A" w:rsidRPr="00B665B2" w:rsidRDefault="00427D02">
      <w:pPr>
        <w:numPr>
          <w:ilvl w:val="0"/>
          <w:numId w:val="2"/>
        </w:numPr>
        <w:ind w:left="0" w:hanging="2"/>
        <w:rPr>
          <w:rFonts w:ascii="Arial Narrow" w:eastAsia="Arial Narrow" w:hAnsi="Arial Narrow" w:cs="Arial Narrow"/>
          <w:b/>
          <w:sz w:val="22"/>
          <w:szCs w:val="22"/>
        </w:rPr>
      </w:pPr>
      <w:r w:rsidRPr="00B665B2">
        <w:rPr>
          <w:rFonts w:ascii="Arial Narrow" w:eastAsia="Arial Narrow" w:hAnsi="Arial Narrow" w:cs="Arial Narrow"/>
          <w:sz w:val="22"/>
          <w:szCs w:val="22"/>
        </w:rPr>
        <w:t>Programme title</w:t>
      </w:r>
      <w:r w:rsidRPr="00B665B2">
        <w:rPr>
          <w:rFonts w:ascii="Arial Narrow" w:eastAsia="Arial Narrow" w:hAnsi="Arial Narrow" w:cs="Arial Narrow"/>
          <w:b/>
          <w:sz w:val="22"/>
          <w:szCs w:val="22"/>
        </w:rPr>
        <w:t xml:space="preserve"> / Naziv programa</w:t>
      </w:r>
    </w:p>
    <w:p w:rsidR="007F3A2A" w:rsidRPr="00B665B2" w:rsidRDefault="00427D02">
      <w:pPr>
        <w:ind w:left="0" w:hanging="2"/>
        <w:rPr>
          <w:rFonts w:ascii="Arial Narrow" w:eastAsia="Arial Narrow" w:hAnsi="Arial Narrow" w:cs="Arial Narrow"/>
          <w:sz w:val="22"/>
          <w:szCs w:val="22"/>
        </w:rPr>
      </w:pPr>
      <w:r w:rsidRPr="00B665B2">
        <w:rPr>
          <w:rFonts w:ascii="Arial Narrow" w:eastAsia="Arial Narrow" w:hAnsi="Arial Narrow" w:cs="Arial Narrow"/>
          <w:sz w:val="22"/>
          <w:szCs w:val="22"/>
        </w:rPr>
        <w:t xml:space="preserve">Interreg IPA Cross-border Cooperation Programme Croatia-Bosnia and Herzegovina – Montenegro 2014-2020 / </w:t>
      </w:r>
      <w:r w:rsidRPr="00B665B2">
        <w:rPr>
          <w:rFonts w:ascii="Arial Narrow" w:eastAsia="Arial Narrow" w:hAnsi="Arial Narrow" w:cs="Arial Narrow"/>
          <w:b/>
          <w:sz w:val="22"/>
          <w:szCs w:val="22"/>
        </w:rPr>
        <w:t>Interreg IPA Program prekogranične saradnje Hrvatska-Bosna i Hercegovina - Crna Gora 2014-2020</w:t>
      </w:r>
    </w:p>
    <w:p w:rsidR="007F3A2A" w:rsidRPr="00B665B2" w:rsidRDefault="00427D02">
      <w:pPr>
        <w:numPr>
          <w:ilvl w:val="0"/>
          <w:numId w:val="2"/>
        </w:numPr>
        <w:ind w:left="0" w:hanging="2"/>
        <w:rPr>
          <w:rFonts w:ascii="Arial Narrow" w:eastAsia="Arial Narrow" w:hAnsi="Arial Narrow" w:cs="Arial Narrow"/>
          <w:b/>
          <w:sz w:val="22"/>
          <w:szCs w:val="22"/>
        </w:rPr>
      </w:pPr>
      <w:r w:rsidRPr="00B665B2">
        <w:rPr>
          <w:rFonts w:ascii="Arial Narrow" w:eastAsia="Arial Narrow" w:hAnsi="Arial Narrow" w:cs="Arial Narrow"/>
          <w:sz w:val="22"/>
          <w:szCs w:val="22"/>
        </w:rPr>
        <w:t xml:space="preserve">Financing </w:t>
      </w:r>
      <w:r w:rsidRPr="00B665B2">
        <w:rPr>
          <w:rFonts w:ascii="Arial Narrow" w:eastAsia="Arial Narrow" w:hAnsi="Arial Narrow" w:cs="Arial Narrow"/>
          <w:b/>
          <w:sz w:val="22"/>
          <w:szCs w:val="22"/>
        </w:rPr>
        <w:t>/ Financiranje</w:t>
      </w:r>
    </w:p>
    <w:p w:rsidR="007F3A2A" w:rsidRPr="00B665B2" w:rsidRDefault="00427D02">
      <w:pPr>
        <w:spacing w:before="240"/>
        <w:ind w:left="0" w:hanging="2"/>
        <w:jc w:val="both"/>
        <w:rPr>
          <w:rFonts w:ascii="Arial Narrow" w:eastAsia="Arial Narrow" w:hAnsi="Arial Narrow" w:cs="Arial Narrow"/>
          <w:b/>
          <w:sz w:val="22"/>
          <w:szCs w:val="22"/>
        </w:rPr>
      </w:pPr>
      <w:r w:rsidRPr="00B665B2">
        <w:rPr>
          <w:rFonts w:ascii="Arial Narrow" w:eastAsia="Arial Narrow" w:hAnsi="Arial Narrow" w:cs="Arial Narrow"/>
          <w:sz w:val="22"/>
          <w:szCs w:val="22"/>
        </w:rPr>
        <w:t xml:space="preserve">The project is co-financed by the European Union, in accordance with the rules of Interreg IPA Cross-border Cooperation Programme Croatia-Bosnia and Herzegovina – Montenegro 2014-2020 programme. / </w:t>
      </w:r>
      <w:r w:rsidR="00BC4B3A" w:rsidRPr="00B665B2">
        <w:rPr>
          <w:rFonts w:ascii="Arial Narrow" w:eastAsia="Arial Narrow" w:hAnsi="Arial Narrow" w:cs="Arial Narrow"/>
          <w:b/>
          <w:sz w:val="22"/>
          <w:szCs w:val="22"/>
        </w:rPr>
        <w:t>Ovaj projekat je sufinans</w:t>
      </w:r>
      <w:r w:rsidRPr="00B665B2">
        <w:rPr>
          <w:rFonts w:ascii="Arial Narrow" w:eastAsia="Arial Narrow" w:hAnsi="Arial Narrow" w:cs="Arial Narrow"/>
          <w:b/>
          <w:sz w:val="22"/>
          <w:szCs w:val="22"/>
        </w:rPr>
        <w:t>iran od strane Europske Unije, u skladu sa pravilima Interreg IPA Programa prekogranične saradnje Hrvatska-Bosna i Hercegovina - Crna Gora 2014-2020.</w:t>
      </w:r>
    </w:p>
    <w:p w:rsidR="007F3A2A" w:rsidRPr="00B665B2" w:rsidRDefault="00427D02">
      <w:pPr>
        <w:numPr>
          <w:ilvl w:val="0"/>
          <w:numId w:val="2"/>
        </w:numPr>
        <w:ind w:left="0" w:hanging="2"/>
        <w:rPr>
          <w:rFonts w:ascii="Arial Narrow" w:eastAsia="Arial Narrow" w:hAnsi="Arial Narrow" w:cs="Arial Narrow"/>
          <w:b/>
          <w:sz w:val="22"/>
          <w:szCs w:val="22"/>
        </w:rPr>
      </w:pPr>
      <w:r w:rsidRPr="00B665B2">
        <w:rPr>
          <w:rFonts w:ascii="Arial Narrow" w:eastAsia="Arial Narrow" w:hAnsi="Arial Narrow" w:cs="Arial Narrow"/>
          <w:sz w:val="22"/>
          <w:szCs w:val="22"/>
        </w:rPr>
        <w:t>Contracting authority</w:t>
      </w:r>
      <w:r w:rsidRPr="00B665B2">
        <w:rPr>
          <w:rFonts w:ascii="Arial Narrow" w:eastAsia="Arial Narrow" w:hAnsi="Arial Narrow" w:cs="Arial Narrow"/>
          <w:b/>
          <w:sz w:val="22"/>
          <w:szCs w:val="22"/>
        </w:rPr>
        <w:t xml:space="preserve"> / Ugov</w:t>
      </w:r>
      <w:r w:rsidR="00BC4B3A" w:rsidRPr="00B665B2">
        <w:rPr>
          <w:rFonts w:ascii="Arial Narrow" w:eastAsia="Arial Narrow" w:hAnsi="Arial Narrow" w:cs="Arial Narrow"/>
          <w:b/>
          <w:sz w:val="22"/>
          <w:szCs w:val="22"/>
        </w:rPr>
        <w:t>orno</w:t>
      </w:r>
      <w:r w:rsidRPr="00B665B2">
        <w:rPr>
          <w:rFonts w:ascii="Arial Narrow" w:eastAsia="Arial Narrow" w:hAnsi="Arial Narrow" w:cs="Arial Narrow"/>
          <w:b/>
          <w:sz w:val="22"/>
          <w:szCs w:val="22"/>
        </w:rPr>
        <w:t xml:space="preserve"> tijelo</w:t>
      </w:r>
    </w:p>
    <w:p w:rsidR="007F3A2A" w:rsidRPr="00B665B2" w:rsidRDefault="00E43446" w:rsidP="000D1A4E">
      <w:pPr>
        <w:ind w:left="0" w:hanging="2"/>
        <w:jc w:val="both"/>
        <w:rPr>
          <w:rFonts w:ascii="Arial Narrow" w:eastAsia="Arial Narrow" w:hAnsi="Arial Narrow" w:cs="Arial Narrow"/>
          <w:sz w:val="22"/>
          <w:szCs w:val="22"/>
        </w:rPr>
      </w:pPr>
      <w:r w:rsidRPr="00B665B2">
        <w:rPr>
          <w:rFonts w:ascii="Arial Narrow" w:eastAsia="Arial Narrow" w:hAnsi="Arial Narrow" w:cs="Arial Narrow"/>
          <w:sz w:val="22"/>
          <w:szCs w:val="22"/>
        </w:rPr>
        <w:t>Institute of Public Health</w:t>
      </w:r>
      <w:r w:rsidR="000D1A4E" w:rsidRPr="00B665B2">
        <w:rPr>
          <w:rFonts w:ascii="Arial Narrow" w:eastAsia="Arial Narrow" w:hAnsi="Arial Narrow" w:cs="Arial Narrow"/>
          <w:sz w:val="22"/>
          <w:szCs w:val="22"/>
        </w:rPr>
        <w:t xml:space="preserve"> of the Federation of Bosnia and Herzegovina, Titova 9, 71000 Sarajevo</w:t>
      </w:r>
      <w:r w:rsidR="00427D02" w:rsidRPr="00B665B2">
        <w:rPr>
          <w:rFonts w:ascii="Arial Narrow" w:eastAsia="Arial Narrow" w:hAnsi="Arial Narrow" w:cs="Arial Narrow"/>
          <w:sz w:val="22"/>
          <w:szCs w:val="22"/>
        </w:rPr>
        <w:t xml:space="preserve">, Bosnia and Herzegovina / </w:t>
      </w:r>
      <w:r w:rsidRPr="00B665B2">
        <w:rPr>
          <w:rFonts w:ascii="Arial Narrow" w:eastAsia="Arial Narrow" w:hAnsi="Arial Narrow" w:cs="Arial Narrow"/>
          <w:b/>
          <w:sz w:val="22"/>
          <w:szCs w:val="22"/>
        </w:rPr>
        <w:t>Zavod za javno zdravstvo Federacije Bosne i Hercegovine</w:t>
      </w:r>
      <w:r w:rsidR="00427D02" w:rsidRPr="00B665B2">
        <w:rPr>
          <w:rFonts w:ascii="Arial Narrow" w:eastAsia="Arial Narrow" w:hAnsi="Arial Narrow" w:cs="Arial Narrow"/>
          <w:b/>
          <w:sz w:val="22"/>
          <w:szCs w:val="22"/>
        </w:rPr>
        <w:t xml:space="preserve">, </w:t>
      </w:r>
      <w:r w:rsidRPr="00B665B2">
        <w:rPr>
          <w:rFonts w:ascii="Arial Narrow" w:eastAsia="Arial Narrow" w:hAnsi="Arial Narrow" w:cs="Arial Narrow"/>
          <w:b/>
          <w:sz w:val="22"/>
          <w:szCs w:val="22"/>
        </w:rPr>
        <w:t xml:space="preserve">Titova 9, 71000 Sarajevo, </w:t>
      </w:r>
      <w:r w:rsidR="00427D02" w:rsidRPr="00B665B2">
        <w:rPr>
          <w:rFonts w:ascii="Arial Narrow" w:eastAsia="Arial Narrow" w:hAnsi="Arial Narrow" w:cs="Arial Narrow"/>
          <w:b/>
          <w:sz w:val="22"/>
          <w:szCs w:val="22"/>
        </w:rPr>
        <w:t>Bosna i Hercegovina</w:t>
      </w:r>
    </w:p>
    <w:p w:rsidR="007F3A2A" w:rsidRDefault="00427D02">
      <w:pPr>
        <w:keepNext/>
        <w:keepLines/>
        <w:widowControl/>
        <w:tabs>
          <w:tab w:val="left" w:pos="1134"/>
          <w:tab w:val="center" w:pos="4891"/>
          <w:tab w:val="left" w:pos="6900"/>
        </w:tabs>
        <w:ind w:left="0" w:hanging="2"/>
        <w:rPr>
          <w:rFonts w:ascii="Arial Narrow" w:eastAsia="Arial Narrow" w:hAnsi="Arial Narrow" w:cs="Arial Narrow"/>
          <w:b/>
          <w:sz w:val="22"/>
          <w:szCs w:val="22"/>
        </w:rPr>
      </w:pPr>
      <w:r>
        <w:rPr>
          <w:rFonts w:ascii="Arial Narrow" w:eastAsia="Arial Narrow" w:hAnsi="Arial Narrow" w:cs="Arial Narrow"/>
          <w:b/>
          <w:sz w:val="22"/>
          <w:szCs w:val="22"/>
        </w:rPr>
        <w:tab/>
      </w:r>
      <w:r>
        <w:rPr>
          <w:rFonts w:ascii="Arial Narrow" w:eastAsia="Arial Narrow" w:hAnsi="Arial Narrow" w:cs="Arial Narrow"/>
          <w:b/>
          <w:sz w:val="22"/>
          <w:szCs w:val="22"/>
        </w:rPr>
        <w:tab/>
      </w:r>
      <w:r>
        <w:rPr>
          <w:noProof/>
        </w:rPr>
        <mc:AlternateContent>
          <mc:Choice Requires="wpg">
            <w:drawing>
              <wp:anchor distT="0" distB="0" distL="114300" distR="114300" simplePos="0" relativeHeight="251659264" behindDoc="0" locked="0" layoutInCell="1" hidden="0" allowOverlap="1">
                <wp:simplePos x="0" y="0"/>
                <wp:positionH relativeFrom="column">
                  <wp:posOffset>139700</wp:posOffset>
                </wp:positionH>
                <wp:positionV relativeFrom="paragraph">
                  <wp:posOffset>38100</wp:posOffset>
                </wp:positionV>
                <wp:extent cx="5943600" cy="22225"/>
                <wp:effectExtent l="0" t="0" r="0" b="0"/>
                <wp:wrapNone/>
                <wp:docPr id="2" name="Ravni poveznik sa strelicom 2"/>
                <wp:cNvGraphicFramePr/>
                <a:graphic xmlns:a="http://schemas.openxmlformats.org/drawingml/2006/main">
                  <a:graphicData uri="http://schemas.microsoft.com/office/word/2010/wordprocessingShape">
                    <wps:wsp>
                      <wps:cNvCnPr/>
                      <wps:spPr>
                        <a:xfrm>
                          <a:off x="2374200" y="3779683"/>
                          <a:ext cx="5943600" cy="635"/>
                        </a:xfrm>
                        <a:prstGeom prst="straightConnector1">
                          <a:avLst/>
                        </a:prstGeom>
                        <a:solidFill>
                          <a:srgbClr val="FFFFFF"/>
                        </a:solidFill>
                        <a:ln w="22225" cap="flat" cmpd="sng">
                          <a:solidFill>
                            <a:srgbClr val="D4D4D4"/>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38100</wp:posOffset>
                </wp:positionV>
                <wp:extent cx="5943600" cy="22225"/>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943600" cy="22225"/>
                        </a:xfrm>
                        <a:prstGeom prst="rect"/>
                        <a:ln/>
                      </pic:spPr>
                    </pic:pic>
                  </a:graphicData>
                </a:graphic>
              </wp:anchor>
            </w:drawing>
          </mc:Fallback>
        </mc:AlternateContent>
      </w:r>
    </w:p>
    <w:p w:rsidR="007F3A2A" w:rsidRDefault="00427D02">
      <w:pPr>
        <w:keepNext/>
        <w:keepLines/>
        <w:widowControl/>
        <w:tabs>
          <w:tab w:val="left" w:pos="1134"/>
          <w:tab w:val="center" w:pos="4891"/>
          <w:tab w:val="left" w:pos="6900"/>
        </w:tabs>
        <w:ind w:left="0" w:hanging="2"/>
        <w:jc w:val="center"/>
        <w:rPr>
          <w:rFonts w:ascii="Arial Narrow" w:eastAsia="Arial Narrow" w:hAnsi="Arial Narrow" w:cs="Arial Narrow"/>
          <w:b/>
          <w:sz w:val="22"/>
          <w:szCs w:val="22"/>
        </w:rPr>
      </w:pPr>
      <w:r>
        <w:rPr>
          <w:rFonts w:ascii="Arial Narrow" w:eastAsia="Arial Narrow" w:hAnsi="Arial Narrow" w:cs="Arial Narrow"/>
          <w:sz w:val="22"/>
          <w:szCs w:val="22"/>
        </w:rPr>
        <w:t>CONTRACT SPECIFICATIONS</w:t>
      </w:r>
      <w:r>
        <w:rPr>
          <w:rFonts w:ascii="Arial Narrow" w:eastAsia="Arial Narrow" w:hAnsi="Arial Narrow" w:cs="Arial Narrow"/>
          <w:b/>
          <w:sz w:val="22"/>
          <w:szCs w:val="22"/>
        </w:rPr>
        <w:t xml:space="preserve"> / SPECIFIKACIJA UGOVORA</w:t>
      </w:r>
    </w:p>
    <w:p w:rsidR="007F3A2A" w:rsidRDefault="00427D02">
      <w:pPr>
        <w:keepNext/>
        <w:keepLines/>
        <w:widowControl/>
        <w:numPr>
          <w:ilvl w:val="0"/>
          <w:numId w:val="2"/>
        </w:numPr>
        <w:ind w:left="0" w:hanging="2"/>
        <w:rPr>
          <w:rFonts w:ascii="Arial Narrow" w:eastAsia="Arial Narrow" w:hAnsi="Arial Narrow" w:cs="Arial Narrow"/>
          <w:sz w:val="22"/>
          <w:szCs w:val="22"/>
        </w:rPr>
      </w:pPr>
      <w:r>
        <w:rPr>
          <w:rFonts w:ascii="Arial Narrow" w:eastAsia="Arial Narrow" w:hAnsi="Arial Narrow" w:cs="Arial Narrow"/>
          <w:sz w:val="22"/>
          <w:szCs w:val="22"/>
        </w:rPr>
        <w:t>Description of the contract /</w:t>
      </w:r>
      <w:r>
        <w:rPr>
          <w:rFonts w:ascii="Arial Narrow" w:eastAsia="Arial Narrow" w:hAnsi="Arial Narrow" w:cs="Arial Narrow"/>
          <w:b/>
          <w:sz w:val="22"/>
          <w:szCs w:val="22"/>
        </w:rPr>
        <w:t xml:space="preserve"> Opis ugovora</w:t>
      </w:r>
    </w:p>
    <w:p w:rsidR="007F3A2A" w:rsidRPr="00E41A46" w:rsidRDefault="00BC4B3A" w:rsidP="00142228">
      <w:pPr>
        <w:ind w:leftChars="0" w:left="2" w:right="57" w:hanging="2"/>
        <w:jc w:val="both"/>
        <w:rPr>
          <w:rFonts w:ascii="Arial Narrow" w:eastAsia="Arial Narrow" w:hAnsi="Arial Narrow" w:cs="Arial Narrow"/>
          <w:sz w:val="22"/>
          <w:szCs w:val="22"/>
        </w:rPr>
      </w:pPr>
      <w:r w:rsidRPr="00A607FF">
        <w:rPr>
          <w:rFonts w:ascii="Arial Narrow" w:eastAsia="Arial Narrow" w:hAnsi="Arial Narrow" w:cs="Arial Narrow"/>
        </w:rPr>
        <w:t xml:space="preserve">Institute of Public Health of the Federation of Bosnia and Herzegovina </w:t>
      </w:r>
      <w:r w:rsidR="00427D02" w:rsidRPr="00A607FF">
        <w:rPr>
          <w:rFonts w:ascii="Arial Narrow" w:eastAsia="Arial Narrow" w:hAnsi="Arial Narrow" w:cs="Arial Narrow"/>
        </w:rPr>
        <w:t>in capacity of the project partner started implementation of the Project</w:t>
      </w:r>
      <w:r w:rsidRPr="00A607FF">
        <w:rPr>
          <w:rFonts w:ascii="Arial Narrow" w:eastAsia="Arial Narrow" w:hAnsi="Arial Narrow" w:cs="Arial Narrow"/>
        </w:rPr>
        <w:t xml:space="preserve"> “HEPSC-Healthy Eating Preschools Children “, </w:t>
      </w:r>
      <w:r w:rsidR="00427D02" w:rsidRPr="00A607FF">
        <w:rPr>
          <w:rFonts w:ascii="Arial Narrow" w:eastAsia="Arial Narrow" w:hAnsi="Arial Narrow" w:cs="Arial Narrow"/>
        </w:rPr>
        <w:t xml:space="preserve">(project acronym </w:t>
      </w:r>
      <w:r w:rsidRPr="00E41A46">
        <w:rPr>
          <w:rFonts w:ascii="Arial Narrow" w:eastAsia="Arial Narrow" w:hAnsi="Arial Narrow" w:cs="Arial Narrow"/>
          <w:sz w:val="22"/>
          <w:szCs w:val="22"/>
        </w:rPr>
        <w:t>HEPSC</w:t>
      </w:r>
      <w:r w:rsidR="00427D02" w:rsidRPr="00E41A46">
        <w:rPr>
          <w:rFonts w:ascii="Arial Narrow" w:eastAsia="Arial Narrow" w:hAnsi="Arial Narrow" w:cs="Arial Narrow"/>
          <w:sz w:val="22"/>
          <w:szCs w:val="22"/>
        </w:rPr>
        <w:t xml:space="preserve">), with two partner organizations within “Interreg IPA Cross-border Cooperation Programme Croatia-Bosnia and Herzegovina – Montenegro 2014-2020”, co-financed by the European Union. </w:t>
      </w:r>
      <w:r w:rsidR="00427D02" w:rsidRPr="00E41A46">
        <w:rPr>
          <w:rFonts w:ascii="Arial Narrow" w:eastAsia="Arial Narrow" w:hAnsi="Arial Narrow" w:cs="Arial Narrow"/>
          <w:b/>
          <w:sz w:val="22"/>
          <w:szCs w:val="22"/>
        </w:rPr>
        <w:t xml:space="preserve">/ </w:t>
      </w:r>
      <w:r w:rsidR="0013438C" w:rsidRPr="00E41A46">
        <w:rPr>
          <w:rFonts w:ascii="Arial Narrow" w:eastAsia="Arial Narrow" w:hAnsi="Arial Narrow" w:cs="Arial Narrow"/>
          <w:b/>
          <w:sz w:val="22"/>
          <w:szCs w:val="22"/>
        </w:rPr>
        <w:t>Zavod za javno zdravstvo Federacije Bosne i Hercegovine</w:t>
      </w:r>
      <w:r w:rsidR="00427D02" w:rsidRPr="00E41A46">
        <w:rPr>
          <w:rFonts w:ascii="Arial Narrow" w:eastAsia="Arial Narrow" w:hAnsi="Arial Narrow" w:cs="Arial Narrow"/>
          <w:b/>
          <w:sz w:val="22"/>
          <w:szCs w:val="22"/>
        </w:rPr>
        <w:t xml:space="preserve">, u svojstvu partnera projekta započeo je realizaciju projekta </w:t>
      </w:r>
      <w:r w:rsidRPr="00E41A46">
        <w:rPr>
          <w:rFonts w:ascii="Arial Narrow" w:eastAsia="Arial Narrow" w:hAnsi="Arial Narrow" w:cs="Arial Narrow"/>
          <w:b/>
          <w:sz w:val="22"/>
          <w:szCs w:val="22"/>
        </w:rPr>
        <w:t xml:space="preserve">„HEPSC-Zdrava Ishrana Predškolske djece” </w:t>
      </w:r>
      <w:r w:rsidR="00427D02" w:rsidRPr="00E41A46">
        <w:rPr>
          <w:rFonts w:ascii="Arial Narrow" w:eastAsia="Arial Narrow" w:hAnsi="Arial Narrow" w:cs="Arial Narrow"/>
          <w:b/>
          <w:sz w:val="22"/>
          <w:szCs w:val="22"/>
        </w:rPr>
        <w:t xml:space="preserve">(akronim projekta </w:t>
      </w:r>
      <w:r w:rsidR="0013438C" w:rsidRPr="00E41A46">
        <w:rPr>
          <w:rFonts w:ascii="Arial Narrow" w:eastAsia="Arial Narrow" w:hAnsi="Arial Narrow" w:cs="Arial Narrow"/>
          <w:b/>
          <w:sz w:val="22"/>
          <w:szCs w:val="22"/>
        </w:rPr>
        <w:t>HEPSC</w:t>
      </w:r>
      <w:r w:rsidR="00427D02" w:rsidRPr="00E41A46">
        <w:rPr>
          <w:rFonts w:ascii="Arial Narrow" w:eastAsia="Arial Narrow" w:hAnsi="Arial Narrow" w:cs="Arial Narrow"/>
          <w:b/>
          <w:sz w:val="22"/>
          <w:szCs w:val="22"/>
        </w:rPr>
        <w:t xml:space="preserve">), sa dvije partnerske organizacije u okviru programa "Interreg IPA Program prekogranične saradnje Hrvatska-Bosna i Hercegovina-Crna Gora 2014-2020", koju sufinancira Europska unija. </w:t>
      </w:r>
    </w:p>
    <w:p w:rsidR="00241C78" w:rsidRPr="00E41A46" w:rsidRDefault="00241C78" w:rsidP="00960600">
      <w:pPr>
        <w:ind w:left="0" w:hanging="2"/>
        <w:jc w:val="both"/>
        <w:rPr>
          <w:rFonts w:ascii="Arial Narrow" w:hAnsi="Arial Narrow" w:cstheme="minorHAnsi"/>
          <w:b/>
          <w:sz w:val="22"/>
          <w:szCs w:val="22"/>
        </w:rPr>
      </w:pPr>
      <w:r w:rsidRPr="00E41A46">
        <w:rPr>
          <w:rFonts w:ascii="Arial Narrow" w:hAnsi="Arial Narrow"/>
          <w:sz w:val="22"/>
          <w:szCs w:val="22"/>
        </w:rPr>
        <w:t>The main goal of the project is to improve the childrens health by promoting an efficient and well functioning food safety and quality control system that leads to improved public health and to provide a support to public health institutions to evaluate eating habits, energy and nutrient intake in the preschool population.</w:t>
      </w:r>
      <w:r w:rsidR="009A23B9" w:rsidRPr="00E41A46">
        <w:rPr>
          <w:rFonts w:ascii="Arial Narrow" w:eastAsia="Arial Narrow" w:hAnsi="Arial Narrow" w:cs="Arial Narrow"/>
          <w:sz w:val="22"/>
          <w:szCs w:val="22"/>
        </w:rPr>
        <w:t xml:space="preserve"> </w:t>
      </w:r>
      <w:r w:rsidR="00341B2E" w:rsidRPr="00E41A46">
        <w:rPr>
          <w:rFonts w:ascii="Arial Narrow" w:hAnsi="Arial Narrow" w:cstheme="minorHAnsi"/>
          <w:b/>
          <w:sz w:val="22"/>
          <w:szCs w:val="22"/>
        </w:rPr>
        <w:t xml:space="preserve">/ </w:t>
      </w:r>
      <w:r w:rsidRPr="00E41A46">
        <w:rPr>
          <w:rFonts w:ascii="Arial Narrow" w:hAnsi="Arial Narrow" w:cstheme="minorHAnsi"/>
          <w:b/>
          <w:sz w:val="22"/>
          <w:szCs w:val="22"/>
        </w:rPr>
        <w:t>Glavni cilj projekta je poboljšati zdravlje djece promicanjem učinkovit</w:t>
      </w:r>
      <w:r w:rsidR="0072199A" w:rsidRPr="00E41A46">
        <w:rPr>
          <w:rFonts w:ascii="Arial Narrow" w:hAnsi="Arial Narrow" w:cstheme="minorHAnsi"/>
          <w:b/>
          <w:sz w:val="22"/>
          <w:szCs w:val="22"/>
        </w:rPr>
        <w:t>og</w:t>
      </w:r>
      <w:r w:rsidRPr="00E41A46">
        <w:rPr>
          <w:rFonts w:ascii="Arial Narrow" w:hAnsi="Arial Narrow" w:cstheme="minorHAnsi"/>
          <w:b/>
          <w:sz w:val="22"/>
          <w:szCs w:val="22"/>
        </w:rPr>
        <w:t xml:space="preserve"> </w:t>
      </w:r>
      <w:r w:rsidR="00960600" w:rsidRPr="00E41A46">
        <w:rPr>
          <w:rFonts w:ascii="Arial Narrow" w:hAnsi="Arial Narrow" w:cstheme="minorHAnsi"/>
          <w:b/>
          <w:sz w:val="22"/>
          <w:szCs w:val="22"/>
        </w:rPr>
        <w:t xml:space="preserve">i </w:t>
      </w:r>
      <w:r w:rsidRPr="00E41A46">
        <w:rPr>
          <w:rFonts w:ascii="Arial Narrow" w:hAnsi="Arial Narrow" w:cstheme="minorHAnsi"/>
          <w:b/>
          <w:sz w:val="22"/>
          <w:szCs w:val="22"/>
        </w:rPr>
        <w:t>dobro funkcionirajuć</w:t>
      </w:r>
      <w:r w:rsidR="0072199A" w:rsidRPr="00E41A46">
        <w:rPr>
          <w:rFonts w:ascii="Arial Narrow" w:hAnsi="Arial Narrow" w:cstheme="minorHAnsi"/>
          <w:b/>
          <w:sz w:val="22"/>
          <w:szCs w:val="22"/>
        </w:rPr>
        <w:t>eg</w:t>
      </w:r>
      <w:r w:rsidRPr="00E41A46">
        <w:rPr>
          <w:rFonts w:ascii="Arial Narrow" w:hAnsi="Arial Narrow" w:cstheme="minorHAnsi"/>
          <w:b/>
          <w:sz w:val="22"/>
          <w:szCs w:val="22"/>
        </w:rPr>
        <w:t xml:space="preserve"> </w:t>
      </w:r>
      <w:r w:rsidR="00142228" w:rsidRPr="00E41A46">
        <w:rPr>
          <w:rFonts w:ascii="Arial Narrow" w:hAnsi="Arial Narrow" w:cstheme="minorHAnsi"/>
          <w:b/>
          <w:sz w:val="22"/>
          <w:szCs w:val="22"/>
        </w:rPr>
        <w:t>s</w:t>
      </w:r>
      <w:r w:rsidR="0072199A" w:rsidRPr="00E41A46">
        <w:rPr>
          <w:rFonts w:ascii="Arial Narrow" w:hAnsi="Arial Narrow" w:cstheme="minorHAnsi"/>
          <w:b/>
          <w:sz w:val="22"/>
          <w:szCs w:val="22"/>
        </w:rPr>
        <w:t>i</w:t>
      </w:r>
      <w:r w:rsidR="00142228" w:rsidRPr="00E41A46">
        <w:rPr>
          <w:rFonts w:ascii="Arial Narrow" w:hAnsi="Arial Narrow" w:cstheme="minorHAnsi"/>
          <w:b/>
          <w:sz w:val="22"/>
          <w:szCs w:val="22"/>
        </w:rPr>
        <w:t>stem</w:t>
      </w:r>
      <w:r w:rsidR="0072199A" w:rsidRPr="00E41A46">
        <w:rPr>
          <w:rFonts w:ascii="Arial Narrow" w:hAnsi="Arial Narrow" w:cstheme="minorHAnsi"/>
          <w:b/>
          <w:sz w:val="22"/>
          <w:szCs w:val="22"/>
        </w:rPr>
        <w:t>a</w:t>
      </w:r>
      <w:r w:rsidRPr="00E41A46">
        <w:rPr>
          <w:rFonts w:ascii="Arial Narrow" w:hAnsi="Arial Narrow" w:cstheme="minorHAnsi"/>
          <w:b/>
          <w:sz w:val="22"/>
          <w:szCs w:val="22"/>
        </w:rPr>
        <w:t xml:space="preserve">sigurnosti hrane i kontrole kvalitete koji vodi poboljšanju javnog zdravlja i pružiti potporu javnim zdravstvenim ustanovama u procjeni prehrambenih navika, energije i hranjivih tvari </w:t>
      </w:r>
      <w:r w:rsidRPr="00E41A46">
        <w:rPr>
          <w:rFonts w:ascii="Arial Narrow" w:hAnsi="Arial Narrow" w:cstheme="minorHAnsi"/>
          <w:b/>
          <w:sz w:val="22"/>
          <w:szCs w:val="22"/>
          <w:lang w:val="bs-Latn-BA"/>
        </w:rPr>
        <w:t>za</w:t>
      </w:r>
      <w:r w:rsidRPr="00E41A46">
        <w:rPr>
          <w:rFonts w:ascii="Arial Narrow" w:hAnsi="Arial Narrow" w:cstheme="minorHAnsi"/>
          <w:b/>
          <w:sz w:val="22"/>
          <w:szCs w:val="22"/>
        </w:rPr>
        <w:t xml:space="preserve"> predškolsku populaciju.</w:t>
      </w:r>
      <w:r w:rsidRPr="00E41A46">
        <w:rPr>
          <w:rFonts w:ascii="Arial Narrow" w:hAnsi="Arial Narrow"/>
          <w:b/>
          <w:sz w:val="22"/>
          <w:szCs w:val="22"/>
        </w:rPr>
        <w:t xml:space="preserve"> </w:t>
      </w:r>
    </w:p>
    <w:p w:rsidR="009A23B9" w:rsidRDefault="009A23B9" w:rsidP="00AD1A71">
      <w:pPr>
        <w:ind w:left="0" w:right="360" w:hanging="2"/>
        <w:jc w:val="both"/>
        <w:rPr>
          <w:rFonts w:ascii="Arial Narrow" w:eastAsia="Arial Narrow" w:hAnsi="Arial Narrow" w:cs="Arial Narrow"/>
        </w:rPr>
      </w:pPr>
    </w:p>
    <w:p w:rsidR="00241C78" w:rsidRPr="009A23B9" w:rsidRDefault="009A23B9" w:rsidP="00AD1A71">
      <w:pPr>
        <w:ind w:left="0" w:right="360" w:hanging="2"/>
        <w:jc w:val="both"/>
        <w:rPr>
          <w:rFonts w:ascii="Arial Narrow" w:eastAsia="Arial Narrow" w:hAnsi="Arial Narrow" w:cs="Arial Narrow"/>
          <w:b/>
          <w:sz w:val="22"/>
          <w:szCs w:val="22"/>
        </w:rPr>
      </w:pPr>
      <w:r w:rsidRPr="009A23B9">
        <w:rPr>
          <w:rFonts w:ascii="Arial Narrow" w:eastAsia="Arial Narrow" w:hAnsi="Arial Narrow" w:cs="Arial Narrow"/>
        </w:rPr>
        <w:lastRenderedPageBreak/>
        <w:t>The subject of the procurement is</w:t>
      </w:r>
      <w:r>
        <w:rPr>
          <w:rFonts w:ascii="Arial Narrow" w:eastAsia="Arial Narrow" w:hAnsi="Arial Narrow" w:cs="Arial Narrow"/>
        </w:rPr>
        <w:t>:</w:t>
      </w:r>
      <w:r w:rsidRPr="009A23B9">
        <w:rPr>
          <w:rFonts w:ascii="Arial Narrow" w:eastAsia="Arial Narrow" w:hAnsi="Arial Narrow" w:cs="Arial Narrow"/>
        </w:rPr>
        <w:t xml:space="preserve"> / </w:t>
      </w:r>
      <w:r w:rsidR="00427D02" w:rsidRPr="009A23B9">
        <w:rPr>
          <w:rFonts w:ascii="Arial Narrow" w:eastAsia="Arial Narrow" w:hAnsi="Arial Narrow" w:cs="Arial Narrow"/>
          <w:b/>
          <w:sz w:val="22"/>
          <w:szCs w:val="22"/>
        </w:rPr>
        <w:t>Predmet nabav</w:t>
      </w:r>
      <w:r w:rsidR="00B00991" w:rsidRPr="009A23B9">
        <w:rPr>
          <w:rFonts w:ascii="Arial Narrow" w:eastAsia="Arial Narrow" w:hAnsi="Arial Narrow" w:cs="Arial Narrow"/>
          <w:b/>
          <w:sz w:val="22"/>
          <w:szCs w:val="22"/>
        </w:rPr>
        <w:t>k</w:t>
      </w:r>
      <w:r w:rsidR="00241C78" w:rsidRPr="009A23B9">
        <w:rPr>
          <w:rFonts w:ascii="Arial Narrow" w:eastAsia="Arial Narrow" w:hAnsi="Arial Narrow" w:cs="Arial Narrow"/>
          <w:b/>
          <w:sz w:val="22"/>
          <w:szCs w:val="22"/>
        </w:rPr>
        <w:t>e je:</w:t>
      </w:r>
    </w:p>
    <w:p w:rsidR="007F3A2A" w:rsidRPr="009A23B9" w:rsidRDefault="00241C78" w:rsidP="00AD1A71">
      <w:pPr>
        <w:ind w:left="0" w:right="360" w:hanging="2"/>
        <w:jc w:val="both"/>
        <w:rPr>
          <w:rFonts w:ascii="Arial Narrow" w:eastAsia="Arial Narrow" w:hAnsi="Arial Narrow" w:cs="Arial Narrow"/>
          <w:b/>
          <w:sz w:val="22"/>
          <w:szCs w:val="22"/>
        </w:rPr>
      </w:pPr>
      <w:r w:rsidRPr="009A23B9">
        <w:rPr>
          <w:rFonts w:ascii="Arial Narrow" w:eastAsia="Arial Narrow" w:hAnsi="Arial Narrow" w:cs="Arial Narrow"/>
          <w:sz w:val="22"/>
          <w:szCs w:val="22"/>
        </w:rPr>
        <w:t xml:space="preserve">Procurement of </w:t>
      </w:r>
      <w:r w:rsidR="00AB1994">
        <w:rPr>
          <w:rFonts w:ascii="Arial Narrow" w:eastAsia="Arial Narrow" w:hAnsi="Arial Narrow" w:cs="Arial Narrow"/>
          <w:sz w:val="22"/>
          <w:szCs w:val="22"/>
        </w:rPr>
        <w:t xml:space="preserve">laboratory equipment </w:t>
      </w:r>
      <w:r w:rsidRPr="009A23B9">
        <w:rPr>
          <w:rFonts w:ascii="Arial Narrow" w:eastAsia="Arial Narrow" w:hAnsi="Arial Narrow" w:cs="Arial Narrow"/>
          <w:sz w:val="22"/>
          <w:szCs w:val="22"/>
        </w:rPr>
        <w:t>for Institute for Public Health of the Federat</w:t>
      </w:r>
      <w:r w:rsidR="00341B2E" w:rsidRPr="009A23B9">
        <w:rPr>
          <w:rFonts w:ascii="Arial Narrow" w:eastAsia="Arial Narrow" w:hAnsi="Arial Narrow" w:cs="Arial Narrow"/>
          <w:sz w:val="22"/>
          <w:szCs w:val="22"/>
        </w:rPr>
        <w:t>ion of Bosnia and Herzegovina</w:t>
      </w:r>
      <w:r w:rsidR="00341B2E" w:rsidRPr="009A23B9">
        <w:rPr>
          <w:rFonts w:ascii="Arial Narrow" w:eastAsia="Arial Narrow" w:hAnsi="Arial Narrow" w:cs="Arial Narrow"/>
          <w:b/>
          <w:sz w:val="22"/>
          <w:szCs w:val="22"/>
        </w:rPr>
        <w:t xml:space="preserve"> / Nabava laboratorijs</w:t>
      </w:r>
      <w:r w:rsidRPr="009A23B9">
        <w:rPr>
          <w:rFonts w:ascii="Arial Narrow" w:eastAsia="Arial Narrow" w:hAnsi="Arial Narrow" w:cs="Arial Narrow"/>
          <w:b/>
          <w:sz w:val="22"/>
          <w:szCs w:val="22"/>
        </w:rPr>
        <w:t>ke opreme za Zavod za javno zdravstvo Federa</w:t>
      </w:r>
      <w:r w:rsidR="00341B2E" w:rsidRPr="009A23B9">
        <w:rPr>
          <w:rFonts w:ascii="Arial Narrow" w:eastAsia="Arial Narrow" w:hAnsi="Arial Narrow" w:cs="Arial Narrow"/>
          <w:b/>
          <w:sz w:val="22"/>
          <w:szCs w:val="22"/>
        </w:rPr>
        <w:t>cije Bosne i Hercegovine</w:t>
      </w:r>
    </w:p>
    <w:p w:rsidR="00AD1A71" w:rsidRPr="00A32B17" w:rsidRDefault="00AD1A71" w:rsidP="00AD1A71">
      <w:pPr>
        <w:ind w:left="0" w:right="360" w:hanging="2"/>
        <w:jc w:val="both"/>
        <w:rPr>
          <w:rFonts w:ascii="Arial Narrow" w:eastAsia="Arial Narrow" w:hAnsi="Arial Narrow" w:cs="Arial Narrow"/>
          <w:color w:val="FF0000"/>
        </w:rPr>
      </w:pPr>
    </w:p>
    <w:p w:rsidR="007F3A2A" w:rsidRDefault="00427D02" w:rsidP="00AD1A71">
      <w:pPr>
        <w:numPr>
          <w:ilvl w:val="0"/>
          <w:numId w:val="2"/>
        </w:numPr>
        <w:ind w:left="0" w:right="360" w:hanging="2"/>
        <w:jc w:val="both"/>
        <w:rPr>
          <w:rFonts w:ascii="Arial Narrow" w:eastAsia="Arial Narrow" w:hAnsi="Arial Narrow" w:cs="Arial Narrow"/>
          <w:sz w:val="22"/>
          <w:szCs w:val="22"/>
        </w:rPr>
      </w:pPr>
      <w:r>
        <w:rPr>
          <w:rFonts w:ascii="Arial Narrow" w:eastAsia="Arial Narrow" w:hAnsi="Arial Narrow" w:cs="Arial Narrow"/>
          <w:sz w:val="22"/>
          <w:szCs w:val="22"/>
        </w:rPr>
        <w:t>Number and titles of lots /</w:t>
      </w:r>
      <w:r>
        <w:rPr>
          <w:rFonts w:ascii="Arial Narrow" w:eastAsia="Arial Narrow" w:hAnsi="Arial Narrow" w:cs="Arial Narrow"/>
          <w:b/>
          <w:sz w:val="22"/>
          <w:szCs w:val="22"/>
        </w:rPr>
        <w:t xml:space="preserve"> Broj i nazivi grupa nabav</w:t>
      </w:r>
      <w:r w:rsidR="00AD1A71">
        <w:rPr>
          <w:rFonts w:ascii="Arial Narrow" w:eastAsia="Arial Narrow" w:hAnsi="Arial Narrow" w:cs="Arial Narrow"/>
          <w:b/>
          <w:sz w:val="22"/>
          <w:szCs w:val="22"/>
        </w:rPr>
        <w:t>k</w:t>
      </w:r>
      <w:r>
        <w:rPr>
          <w:rFonts w:ascii="Arial Narrow" w:eastAsia="Arial Narrow" w:hAnsi="Arial Narrow" w:cs="Arial Narrow"/>
          <w:b/>
          <w:sz w:val="22"/>
          <w:szCs w:val="22"/>
        </w:rPr>
        <w:t>e</w:t>
      </w:r>
    </w:p>
    <w:p w:rsidR="007F3A2A" w:rsidRPr="002A74CF" w:rsidRDefault="00041701" w:rsidP="00AD1A71">
      <w:pPr>
        <w:pBdr>
          <w:top w:val="nil"/>
          <w:left w:val="nil"/>
          <w:bottom w:val="nil"/>
          <w:right w:val="nil"/>
          <w:between w:val="nil"/>
        </w:pBdr>
        <w:spacing w:line="240" w:lineRule="auto"/>
        <w:ind w:left="0" w:right="360" w:hanging="2"/>
        <w:jc w:val="both"/>
        <w:rPr>
          <w:rFonts w:ascii="Arial Narrow" w:eastAsia="Arial Narrow" w:hAnsi="Arial Narrow" w:cs="Arial Narrow"/>
          <w:b/>
          <w:sz w:val="22"/>
          <w:szCs w:val="22"/>
        </w:rPr>
      </w:pPr>
      <w:r w:rsidRPr="002A74CF">
        <w:rPr>
          <w:rFonts w:ascii="Arial Narrow" w:eastAsia="Arial Narrow" w:hAnsi="Arial Narrow" w:cs="Arial Narrow"/>
          <w:b/>
          <w:sz w:val="22"/>
          <w:szCs w:val="22"/>
        </w:rPr>
        <w:t>L</w:t>
      </w:r>
      <w:r w:rsidR="00341B2E" w:rsidRPr="002A74CF">
        <w:rPr>
          <w:rFonts w:ascii="Arial Narrow" w:eastAsia="Arial Narrow" w:hAnsi="Arial Narrow" w:cs="Arial Narrow"/>
          <w:b/>
          <w:sz w:val="22"/>
          <w:szCs w:val="22"/>
        </w:rPr>
        <w:t>ot</w:t>
      </w:r>
      <w:r w:rsidRPr="002A74CF">
        <w:rPr>
          <w:rFonts w:ascii="Arial Narrow" w:eastAsia="Arial Narrow" w:hAnsi="Arial Narrow" w:cs="Arial Narrow"/>
          <w:sz w:val="22"/>
          <w:szCs w:val="22"/>
        </w:rPr>
        <w:t xml:space="preserve"> </w:t>
      </w:r>
      <w:r w:rsidRPr="002A74CF">
        <w:rPr>
          <w:rFonts w:ascii="Arial Narrow" w:eastAsia="Arial Narrow" w:hAnsi="Arial Narrow" w:cs="Arial Narrow"/>
          <w:b/>
          <w:sz w:val="22"/>
          <w:szCs w:val="22"/>
        </w:rPr>
        <w:t xml:space="preserve">1 - </w:t>
      </w:r>
      <w:r w:rsidR="00B665B2" w:rsidRPr="00B665B2">
        <w:rPr>
          <w:rFonts w:ascii="Arial Narrow" w:eastAsia="Arial Narrow" w:hAnsi="Arial Narrow" w:cs="Arial Narrow"/>
          <w:sz w:val="22"/>
          <w:szCs w:val="22"/>
        </w:rPr>
        <w:t>Kjeldahl protein analysis apparatus/</w:t>
      </w:r>
      <w:r w:rsidR="00B665B2">
        <w:rPr>
          <w:rFonts w:ascii="Arial Narrow" w:eastAsia="Arial Narrow" w:hAnsi="Arial Narrow" w:cs="Arial Narrow"/>
          <w:b/>
          <w:sz w:val="22"/>
          <w:szCs w:val="22"/>
        </w:rPr>
        <w:t xml:space="preserve"> Aparatura za analizu bjelančevina po Kjeldahlu</w:t>
      </w:r>
    </w:p>
    <w:p w:rsidR="00041701" w:rsidRPr="002A74CF" w:rsidRDefault="00041701" w:rsidP="00AD1A71">
      <w:pPr>
        <w:pBdr>
          <w:top w:val="nil"/>
          <w:left w:val="nil"/>
          <w:bottom w:val="nil"/>
          <w:right w:val="nil"/>
          <w:between w:val="nil"/>
        </w:pBdr>
        <w:spacing w:line="240" w:lineRule="auto"/>
        <w:ind w:left="0" w:right="360" w:hanging="2"/>
        <w:jc w:val="both"/>
        <w:rPr>
          <w:rFonts w:ascii="Arial Narrow" w:eastAsia="Arial Narrow" w:hAnsi="Arial Narrow" w:cs="Arial Narrow"/>
          <w:b/>
          <w:sz w:val="22"/>
          <w:szCs w:val="22"/>
        </w:rPr>
      </w:pPr>
      <w:r w:rsidRPr="002A74CF">
        <w:rPr>
          <w:rFonts w:ascii="Arial Narrow" w:eastAsia="Arial Narrow" w:hAnsi="Arial Narrow" w:cs="Arial Narrow"/>
          <w:b/>
          <w:sz w:val="22"/>
          <w:szCs w:val="22"/>
        </w:rPr>
        <w:t>L</w:t>
      </w:r>
      <w:r w:rsidR="00341B2E" w:rsidRPr="002A74CF">
        <w:rPr>
          <w:rFonts w:ascii="Arial Narrow" w:eastAsia="Arial Narrow" w:hAnsi="Arial Narrow" w:cs="Arial Narrow"/>
          <w:b/>
          <w:sz w:val="22"/>
          <w:szCs w:val="22"/>
        </w:rPr>
        <w:t>ot</w:t>
      </w:r>
      <w:r w:rsidRPr="002A74CF">
        <w:rPr>
          <w:rFonts w:ascii="Arial Narrow" w:eastAsia="Arial Narrow" w:hAnsi="Arial Narrow" w:cs="Arial Narrow"/>
          <w:b/>
          <w:sz w:val="22"/>
          <w:szCs w:val="22"/>
        </w:rPr>
        <w:t xml:space="preserve"> 2 </w:t>
      </w:r>
      <w:r w:rsidR="000D1A75" w:rsidRPr="002A74CF">
        <w:rPr>
          <w:rFonts w:ascii="Arial Narrow" w:eastAsia="Arial Narrow" w:hAnsi="Arial Narrow" w:cs="Arial Narrow"/>
          <w:b/>
          <w:sz w:val="22"/>
          <w:szCs w:val="22"/>
        </w:rPr>
        <w:t>-</w:t>
      </w:r>
      <w:r w:rsidR="00EF4706" w:rsidRPr="002A74CF">
        <w:rPr>
          <w:rFonts w:ascii="Arial Narrow" w:eastAsia="Arial Narrow" w:hAnsi="Arial Narrow" w:cs="Arial Narrow"/>
          <w:b/>
          <w:sz w:val="22"/>
          <w:szCs w:val="22"/>
        </w:rPr>
        <w:t xml:space="preserve"> </w:t>
      </w:r>
      <w:r w:rsidR="00EF4706" w:rsidRPr="00B665B2">
        <w:rPr>
          <w:rFonts w:ascii="Arial Narrow" w:eastAsia="Arial Narrow" w:hAnsi="Arial Narrow" w:cs="Arial Narrow"/>
          <w:sz w:val="22"/>
          <w:szCs w:val="22"/>
        </w:rPr>
        <w:t>S</w:t>
      </w:r>
      <w:r w:rsidR="000D1A75" w:rsidRPr="00B665B2">
        <w:rPr>
          <w:rFonts w:ascii="Arial Narrow" w:eastAsia="Arial Narrow" w:hAnsi="Arial Narrow" w:cs="Arial Narrow"/>
          <w:sz w:val="22"/>
          <w:szCs w:val="22"/>
        </w:rPr>
        <w:t>ox</w:t>
      </w:r>
      <w:r w:rsidR="00B665B2" w:rsidRPr="00B665B2">
        <w:rPr>
          <w:rFonts w:ascii="Arial Narrow" w:eastAsia="Arial Narrow" w:hAnsi="Arial Narrow" w:cs="Arial Narrow"/>
          <w:sz w:val="22"/>
          <w:szCs w:val="22"/>
        </w:rPr>
        <w:t>h</w:t>
      </w:r>
      <w:r w:rsidR="000D1A75" w:rsidRPr="00B665B2">
        <w:rPr>
          <w:rFonts w:ascii="Arial Narrow" w:eastAsia="Arial Narrow" w:hAnsi="Arial Narrow" w:cs="Arial Narrow"/>
          <w:sz w:val="22"/>
          <w:szCs w:val="22"/>
        </w:rPr>
        <w:t>let</w:t>
      </w:r>
      <w:r w:rsidR="00EF4706" w:rsidRPr="00B665B2">
        <w:rPr>
          <w:rFonts w:ascii="Arial Narrow" w:eastAsia="Arial Narrow" w:hAnsi="Arial Narrow" w:cs="Arial Narrow"/>
          <w:sz w:val="22"/>
          <w:szCs w:val="22"/>
        </w:rPr>
        <w:t xml:space="preserve"> </w:t>
      </w:r>
      <w:r w:rsidR="00B665B2" w:rsidRPr="00B665B2">
        <w:rPr>
          <w:rFonts w:ascii="Arial Narrow" w:eastAsia="Arial Narrow" w:hAnsi="Arial Narrow" w:cs="Arial Narrow"/>
          <w:sz w:val="22"/>
          <w:szCs w:val="22"/>
        </w:rPr>
        <w:t>extractor /</w:t>
      </w:r>
      <w:r w:rsidR="00B665B2">
        <w:rPr>
          <w:rFonts w:ascii="Arial Narrow" w:eastAsia="Arial Narrow" w:hAnsi="Arial Narrow" w:cs="Arial Narrow"/>
          <w:b/>
          <w:sz w:val="22"/>
          <w:szCs w:val="22"/>
        </w:rPr>
        <w:t xml:space="preserve"> Soxhlet ekstraktor</w:t>
      </w:r>
    </w:p>
    <w:p w:rsidR="009A23B9" w:rsidRDefault="00041701">
      <w:pPr>
        <w:pBdr>
          <w:top w:val="nil"/>
          <w:left w:val="nil"/>
          <w:bottom w:val="nil"/>
          <w:right w:val="nil"/>
          <w:between w:val="nil"/>
        </w:pBdr>
        <w:spacing w:line="240" w:lineRule="auto"/>
        <w:ind w:left="0" w:right="360" w:hanging="2"/>
        <w:jc w:val="both"/>
        <w:rPr>
          <w:rFonts w:ascii="Arial Narrow" w:eastAsia="Arial Narrow" w:hAnsi="Arial Narrow" w:cs="Arial Narrow"/>
          <w:b/>
          <w:sz w:val="22"/>
          <w:szCs w:val="22"/>
        </w:rPr>
      </w:pPr>
      <w:r w:rsidRPr="002A74CF">
        <w:rPr>
          <w:rFonts w:ascii="Arial Narrow" w:eastAsia="Arial Narrow" w:hAnsi="Arial Narrow" w:cs="Arial Narrow"/>
          <w:b/>
          <w:sz w:val="22"/>
          <w:szCs w:val="22"/>
        </w:rPr>
        <w:t>L</w:t>
      </w:r>
      <w:r w:rsidR="00341B2E" w:rsidRPr="002A74CF">
        <w:rPr>
          <w:rFonts w:ascii="Arial Narrow" w:eastAsia="Arial Narrow" w:hAnsi="Arial Narrow" w:cs="Arial Narrow"/>
          <w:b/>
          <w:sz w:val="22"/>
          <w:szCs w:val="22"/>
        </w:rPr>
        <w:t>ot</w:t>
      </w:r>
      <w:r w:rsidRPr="002A74CF">
        <w:rPr>
          <w:rFonts w:ascii="Arial Narrow" w:eastAsia="Arial Narrow" w:hAnsi="Arial Narrow" w:cs="Arial Narrow"/>
          <w:b/>
          <w:sz w:val="22"/>
          <w:szCs w:val="22"/>
        </w:rPr>
        <w:t xml:space="preserve"> 3 </w:t>
      </w:r>
      <w:r w:rsidR="009A23B9">
        <w:rPr>
          <w:rFonts w:ascii="Arial Narrow" w:eastAsia="Arial Narrow" w:hAnsi="Arial Narrow" w:cs="Arial Narrow"/>
          <w:b/>
          <w:sz w:val="22"/>
          <w:szCs w:val="22"/>
        </w:rPr>
        <w:t>-</w:t>
      </w:r>
      <w:r w:rsidR="00EF4706" w:rsidRPr="002A74CF">
        <w:rPr>
          <w:rFonts w:ascii="Arial Narrow" w:eastAsia="Arial Narrow" w:hAnsi="Arial Narrow" w:cs="Arial Narrow"/>
          <w:b/>
          <w:sz w:val="22"/>
          <w:szCs w:val="22"/>
        </w:rPr>
        <w:t xml:space="preserve"> </w:t>
      </w:r>
      <w:r w:rsidR="009A23B9" w:rsidRPr="00B665B2">
        <w:rPr>
          <w:rFonts w:ascii="Arial Narrow" w:eastAsia="Arial Narrow" w:hAnsi="Arial Narrow" w:cs="Arial Narrow"/>
          <w:sz w:val="22"/>
          <w:szCs w:val="22"/>
        </w:rPr>
        <w:t>Liqui</w:t>
      </w:r>
      <w:r w:rsidR="0072199A" w:rsidRPr="00B665B2">
        <w:rPr>
          <w:rFonts w:ascii="Arial Narrow" w:eastAsia="Arial Narrow" w:hAnsi="Arial Narrow" w:cs="Arial Narrow"/>
          <w:sz w:val="22"/>
          <w:szCs w:val="22"/>
        </w:rPr>
        <w:t>d</w:t>
      </w:r>
      <w:r w:rsidR="009A23B9" w:rsidRPr="00B665B2">
        <w:rPr>
          <w:rFonts w:ascii="Arial Narrow" w:eastAsia="Arial Narrow" w:hAnsi="Arial Narrow" w:cs="Arial Narrow"/>
          <w:sz w:val="22"/>
          <w:szCs w:val="22"/>
        </w:rPr>
        <w:t xml:space="preserve"> chromatograph (High performance Liquid C</w:t>
      </w:r>
      <w:r w:rsidR="0072199A" w:rsidRPr="00B665B2">
        <w:rPr>
          <w:rFonts w:ascii="Arial Narrow" w:eastAsia="Arial Narrow" w:hAnsi="Arial Narrow" w:cs="Arial Narrow"/>
          <w:sz w:val="22"/>
          <w:szCs w:val="22"/>
        </w:rPr>
        <w:t>hromatogra</w:t>
      </w:r>
      <w:r w:rsidR="009A23B9" w:rsidRPr="00B665B2">
        <w:rPr>
          <w:rFonts w:ascii="Arial Narrow" w:eastAsia="Arial Narrow" w:hAnsi="Arial Narrow" w:cs="Arial Narrow"/>
          <w:sz w:val="22"/>
          <w:szCs w:val="22"/>
        </w:rPr>
        <w:t>phy)</w:t>
      </w:r>
      <w:r w:rsidR="009A23B9">
        <w:rPr>
          <w:rFonts w:ascii="Arial Narrow" w:eastAsia="Arial Narrow" w:hAnsi="Arial Narrow" w:cs="Arial Narrow"/>
          <w:b/>
          <w:sz w:val="22"/>
          <w:szCs w:val="22"/>
        </w:rPr>
        <w:t xml:space="preserve"> / </w:t>
      </w:r>
      <w:r w:rsidR="00EF4706" w:rsidRPr="002A74CF">
        <w:rPr>
          <w:rFonts w:ascii="Arial Narrow" w:eastAsia="Arial Narrow" w:hAnsi="Arial Narrow" w:cs="Arial Narrow"/>
          <w:b/>
          <w:sz w:val="22"/>
          <w:szCs w:val="22"/>
        </w:rPr>
        <w:t xml:space="preserve">Tekućinski kromtograf </w:t>
      </w:r>
    </w:p>
    <w:p w:rsidR="00041701" w:rsidRPr="002A74CF" w:rsidRDefault="009A23B9">
      <w:pPr>
        <w:pBdr>
          <w:top w:val="nil"/>
          <w:left w:val="nil"/>
          <w:bottom w:val="nil"/>
          <w:right w:val="nil"/>
          <w:between w:val="nil"/>
        </w:pBdr>
        <w:spacing w:line="240" w:lineRule="auto"/>
        <w:ind w:left="0" w:right="360" w:hanging="2"/>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           </w:t>
      </w:r>
      <w:r w:rsidR="00EF4706" w:rsidRPr="002A74CF">
        <w:rPr>
          <w:rFonts w:ascii="Arial Narrow" w:eastAsia="Arial Narrow" w:hAnsi="Arial Narrow" w:cs="Arial Narrow"/>
          <w:b/>
          <w:sz w:val="22"/>
          <w:szCs w:val="22"/>
        </w:rPr>
        <w:t>HPLC</w:t>
      </w:r>
    </w:p>
    <w:p w:rsidR="009A23B9" w:rsidRDefault="00041701">
      <w:pPr>
        <w:pBdr>
          <w:top w:val="nil"/>
          <w:left w:val="nil"/>
          <w:bottom w:val="nil"/>
          <w:right w:val="nil"/>
          <w:between w:val="nil"/>
        </w:pBdr>
        <w:spacing w:line="240" w:lineRule="auto"/>
        <w:ind w:left="0" w:right="360" w:hanging="2"/>
        <w:jc w:val="both"/>
        <w:rPr>
          <w:rFonts w:ascii="Arial Narrow" w:eastAsia="Arial Narrow" w:hAnsi="Arial Narrow" w:cs="Arial Narrow"/>
          <w:b/>
          <w:sz w:val="22"/>
          <w:szCs w:val="22"/>
        </w:rPr>
      </w:pPr>
      <w:r w:rsidRPr="002A74CF">
        <w:rPr>
          <w:rFonts w:ascii="Arial Narrow" w:eastAsia="Arial Narrow" w:hAnsi="Arial Narrow" w:cs="Arial Narrow"/>
          <w:b/>
          <w:sz w:val="22"/>
          <w:szCs w:val="22"/>
        </w:rPr>
        <w:t>L</w:t>
      </w:r>
      <w:r w:rsidR="00341B2E" w:rsidRPr="002A74CF">
        <w:rPr>
          <w:rFonts w:ascii="Arial Narrow" w:eastAsia="Arial Narrow" w:hAnsi="Arial Narrow" w:cs="Arial Narrow"/>
          <w:b/>
          <w:sz w:val="22"/>
          <w:szCs w:val="22"/>
        </w:rPr>
        <w:t>ot</w:t>
      </w:r>
      <w:r w:rsidRPr="002A74CF">
        <w:rPr>
          <w:rFonts w:ascii="Arial Narrow" w:eastAsia="Arial Narrow" w:hAnsi="Arial Narrow" w:cs="Arial Narrow"/>
          <w:b/>
          <w:sz w:val="22"/>
          <w:szCs w:val="22"/>
        </w:rPr>
        <w:t xml:space="preserve"> 4 -</w:t>
      </w:r>
      <w:r w:rsidR="00B665B2">
        <w:rPr>
          <w:rFonts w:ascii="Arial Narrow" w:eastAsia="Arial Narrow" w:hAnsi="Arial Narrow" w:cs="Arial Narrow"/>
          <w:b/>
          <w:sz w:val="22"/>
          <w:szCs w:val="22"/>
        </w:rPr>
        <w:t xml:space="preserve"> </w:t>
      </w:r>
      <w:r w:rsidR="009A23B9" w:rsidRPr="00B665B2">
        <w:rPr>
          <w:rFonts w:ascii="Arial Narrow" w:eastAsia="Arial Narrow" w:hAnsi="Arial Narrow" w:cs="Arial Narrow"/>
          <w:sz w:val="22"/>
          <w:szCs w:val="22"/>
        </w:rPr>
        <w:t>Gas chromatograph with FID and ECD detector/</w:t>
      </w:r>
      <w:r w:rsidR="000D1A75" w:rsidRPr="002A74CF">
        <w:rPr>
          <w:rFonts w:ascii="Arial Narrow" w:eastAsia="Arial Narrow" w:hAnsi="Arial Narrow" w:cs="Arial Narrow"/>
          <w:b/>
          <w:sz w:val="22"/>
          <w:szCs w:val="22"/>
        </w:rPr>
        <w:t xml:space="preserve"> Plinski kromatograf </w:t>
      </w:r>
      <w:r w:rsidR="009A23B9">
        <w:rPr>
          <w:rFonts w:ascii="Arial Narrow" w:eastAsia="Arial Narrow" w:hAnsi="Arial Narrow" w:cs="Arial Narrow"/>
          <w:b/>
          <w:sz w:val="22"/>
          <w:szCs w:val="22"/>
        </w:rPr>
        <w:t xml:space="preserve">sa FID i ECD detektorom </w:t>
      </w:r>
    </w:p>
    <w:p w:rsidR="00041701" w:rsidRPr="002A74CF" w:rsidRDefault="009A23B9">
      <w:pPr>
        <w:pBdr>
          <w:top w:val="nil"/>
          <w:left w:val="nil"/>
          <w:bottom w:val="nil"/>
          <w:right w:val="nil"/>
          <w:between w:val="nil"/>
        </w:pBdr>
        <w:spacing w:line="240" w:lineRule="auto"/>
        <w:ind w:left="0" w:right="360" w:hanging="2"/>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          </w:t>
      </w:r>
      <w:r w:rsidR="00B665B2">
        <w:rPr>
          <w:rFonts w:ascii="Arial Narrow" w:eastAsia="Arial Narrow" w:hAnsi="Arial Narrow" w:cs="Arial Narrow"/>
          <w:b/>
          <w:sz w:val="22"/>
          <w:szCs w:val="22"/>
        </w:rPr>
        <w:t xml:space="preserve"> </w:t>
      </w:r>
      <w:r w:rsidR="000D1A75" w:rsidRPr="002A74CF">
        <w:rPr>
          <w:rFonts w:ascii="Arial Narrow" w:eastAsia="Arial Narrow" w:hAnsi="Arial Narrow" w:cs="Arial Narrow"/>
          <w:b/>
          <w:sz w:val="22"/>
          <w:szCs w:val="22"/>
        </w:rPr>
        <w:t>GC FID</w:t>
      </w:r>
      <w:r>
        <w:rPr>
          <w:rFonts w:ascii="Arial Narrow" w:eastAsia="Arial Narrow" w:hAnsi="Arial Narrow" w:cs="Arial Narrow"/>
          <w:b/>
          <w:sz w:val="22"/>
          <w:szCs w:val="22"/>
        </w:rPr>
        <w:t>/ECD</w:t>
      </w:r>
    </w:p>
    <w:p w:rsidR="00341B2E" w:rsidRPr="002A74CF" w:rsidRDefault="00341B2E" w:rsidP="00341B2E">
      <w:pPr>
        <w:pBdr>
          <w:top w:val="nil"/>
          <w:left w:val="nil"/>
          <w:bottom w:val="nil"/>
          <w:right w:val="nil"/>
          <w:between w:val="nil"/>
        </w:pBdr>
        <w:spacing w:line="240" w:lineRule="auto"/>
        <w:ind w:left="0" w:right="360" w:hanging="2"/>
        <w:jc w:val="both"/>
        <w:rPr>
          <w:rFonts w:ascii="Arial Narrow" w:eastAsia="Arial Narrow" w:hAnsi="Arial Narrow" w:cs="Arial Narrow"/>
          <w:b/>
          <w:sz w:val="22"/>
          <w:szCs w:val="22"/>
        </w:rPr>
      </w:pPr>
      <w:r w:rsidRPr="002A74CF">
        <w:rPr>
          <w:rFonts w:ascii="Arial Narrow" w:eastAsia="Arial Narrow" w:hAnsi="Arial Narrow" w:cs="Arial Narrow"/>
          <w:b/>
          <w:sz w:val="22"/>
          <w:szCs w:val="22"/>
        </w:rPr>
        <w:t xml:space="preserve">Lot 5 - </w:t>
      </w:r>
      <w:r w:rsidRPr="00B665B2">
        <w:rPr>
          <w:rFonts w:ascii="Arial Narrow" w:eastAsia="Arial Narrow" w:hAnsi="Arial Narrow" w:cs="Arial Narrow"/>
          <w:sz w:val="22"/>
          <w:szCs w:val="22"/>
        </w:rPr>
        <w:t>Tanita scale and stadiometar/</w:t>
      </w:r>
      <w:r w:rsidR="00B665B2">
        <w:rPr>
          <w:rFonts w:ascii="Arial Narrow" w:eastAsia="Arial Narrow" w:hAnsi="Arial Narrow" w:cs="Arial Narrow"/>
          <w:sz w:val="22"/>
          <w:szCs w:val="22"/>
        </w:rPr>
        <w:t xml:space="preserve"> </w:t>
      </w:r>
      <w:r w:rsidRPr="002A74CF">
        <w:rPr>
          <w:rFonts w:ascii="Arial Narrow" w:eastAsia="Arial Narrow" w:hAnsi="Arial Narrow" w:cs="Arial Narrow"/>
          <w:b/>
          <w:sz w:val="22"/>
          <w:szCs w:val="22"/>
        </w:rPr>
        <w:t>Tanita vaga i visinomjer</w:t>
      </w:r>
    </w:p>
    <w:p w:rsidR="00341B2E" w:rsidRPr="002A74CF" w:rsidRDefault="00341B2E" w:rsidP="00341B2E">
      <w:pPr>
        <w:pBdr>
          <w:top w:val="nil"/>
          <w:left w:val="nil"/>
          <w:bottom w:val="nil"/>
          <w:right w:val="nil"/>
          <w:between w:val="nil"/>
        </w:pBdr>
        <w:spacing w:line="240" w:lineRule="auto"/>
        <w:ind w:left="0" w:right="360" w:hanging="2"/>
        <w:jc w:val="both"/>
        <w:rPr>
          <w:rFonts w:ascii="Arial Narrow" w:eastAsia="Arial Narrow" w:hAnsi="Arial Narrow" w:cs="Arial Narrow"/>
          <w:b/>
          <w:sz w:val="22"/>
          <w:szCs w:val="22"/>
        </w:rPr>
      </w:pPr>
      <w:r w:rsidRPr="002A74CF">
        <w:rPr>
          <w:rFonts w:ascii="Arial Narrow" w:eastAsia="Arial Narrow" w:hAnsi="Arial Narrow" w:cs="Arial Narrow"/>
          <w:b/>
          <w:sz w:val="22"/>
          <w:szCs w:val="22"/>
        </w:rPr>
        <w:t xml:space="preserve">Lot 6 - </w:t>
      </w:r>
      <w:r w:rsidRPr="00B665B2">
        <w:rPr>
          <w:rFonts w:ascii="Arial Narrow" w:eastAsia="Arial Narrow" w:hAnsi="Arial Narrow" w:cs="Arial Narrow"/>
          <w:sz w:val="22"/>
          <w:szCs w:val="22"/>
        </w:rPr>
        <w:t>Nutrition software /</w:t>
      </w:r>
      <w:r w:rsidR="00B665B2">
        <w:rPr>
          <w:rFonts w:ascii="Arial Narrow" w:eastAsia="Arial Narrow" w:hAnsi="Arial Narrow" w:cs="Arial Narrow"/>
          <w:sz w:val="22"/>
          <w:szCs w:val="22"/>
        </w:rPr>
        <w:t xml:space="preserve"> </w:t>
      </w:r>
      <w:r w:rsidRPr="002A74CF">
        <w:rPr>
          <w:rFonts w:ascii="Arial Narrow" w:eastAsia="Arial Narrow" w:hAnsi="Arial Narrow" w:cs="Arial Narrow"/>
          <w:b/>
          <w:sz w:val="22"/>
          <w:szCs w:val="22"/>
        </w:rPr>
        <w:t>Nutritivni softver</w:t>
      </w:r>
    </w:p>
    <w:p w:rsidR="00341B2E" w:rsidRPr="002A74CF" w:rsidRDefault="00341B2E" w:rsidP="00341B2E">
      <w:pPr>
        <w:pBdr>
          <w:top w:val="nil"/>
          <w:left w:val="nil"/>
          <w:bottom w:val="nil"/>
          <w:right w:val="nil"/>
          <w:between w:val="nil"/>
        </w:pBdr>
        <w:spacing w:line="240" w:lineRule="auto"/>
        <w:ind w:left="0" w:right="360" w:hanging="2"/>
        <w:jc w:val="both"/>
        <w:rPr>
          <w:rFonts w:ascii="Arial Narrow" w:eastAsia="Arial Narrow" w:hAnsi="Arial Narrow" w:cs="Arial Narrow"/>
          <w:b/>
          <w:sz w:val="22"/>
          <w:szCs w:val="22"/>
        </w:rPr>
      </w:pPr>
      <w:r w:rsidRPr="002A74CF">
        <w:rPr>
          <w:rFonts w:ascii="Arial Narrow" w:eastAsia="Arial Narrow" w:hAnsi="Arial Narrow" w:cs="Arial Narrow"/>
          <w:b/>
          <w:sz w:val="22"/>
          <w:szCs w:val="22"/>
        </w:rPr>
        <w:t xml:space="preserve">Lot 7 – </w:t>
      </w:r>
      <w:r w:rsidRPr="00B665B2">
        <w:rPr>
          <w:rFonts w:ascii="Arial Narrow" w:eastAsia="Arial Narrow" w:hAnsi="Arial Narrow" w:cs="Arial Narrow"/>
          <w:sz w:val="22"/>
          <w:szCs w:val="22"/>
        </w:rPr>
        <w:t xml:space="preserve">Software </w:t>
      </w:r>
      <w:r w:rsidR="006F43BD">
        <w:rPr>
          <w:rFonts w:ascii="Arial Narrow" w:eastAsia="Arial Narrow" w:hAnsi="Arial Narrow" w:cs="Arial Narrow"/>
          <w:sz w:val="22"/>
          <w:szCs w:val="22"/>
        </w:rPr>
        <w:t>…….</w:t>
      </w:r>
      <w:r w:rsidRPr="00B665B2">
        <w:rPr>
          <w:rFonts w:ascii="Arial Narrow" w:eastAsia="Arial Narrow" w:hAnsi="Arial Narrow" w:cs="Arial Narrow"/>
          <w:sz w:val="22"/>
          <w:szCs w:val="22"/>
        </w:rPr>
        <w:t>/</w:t>
      </w:r>
      <w:r w:rsidRPr="002A74CF">
        <w:rPr>
          <w:rFonts w:ascii="Arial Narrow" w:eastAsia="Arial Narrow" w:hAnsi="Arial Narrow" w:cs="Arial Narrow"/>
          <w:b/>
          <w:sz w:val="22"/>
          <w:szCs w:val="22"/>
        </w:rPr>
        <w:t xml:space="preserve"> Softver za </w:t>
      </w:r>
      <w:r w:rsidR="006F43BD">
        <w:rPr>
          <w:rFonts w:ascii="Arial Narrow" w:eastAsia="Arial Narrow" w:hAnsi="Arial Narrow" w:cs="Arial Narrow"/>
          <w:b/>
          <w:sz w:val="22"/>
          <w:szCs w:val="22"/>
        </w:rPr>
        <w:t>laboratorij</w:t>
      </w:r>
    </w:p>
    <w:p w:rsidR="007F3A2A" w:rsidRDefault="00427D02">
      <w:pPr>
        <w:pBdr>
          <w:top w:val="nil"/>
          <w:left w:val="nil"/>
          <w:bottom w:val="nil"/>
          <w:right w:val="nil"/>
          <w:between w:val="nil"/>
        </w:pBdr>
        <w:spacing w:before="400" w:line="240" w:lineRule="auto"/>
        <w:ind w:left="0" w:hanging="2"/>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TERMS OF PARTICIPATION / USLOVI UČEŠĆA</w:t>
      </w:r>
      <w:r>
        <w:rPr>
          <w:noProof/>
        </w:rPr>
        <mc:AlternateContent>
          <mc:Choice Requires="wpg">
            <w:drawing>
              <wp:anchor distT="0" distB="0" distL="114300" distR="114300" simplePos="0" relativeHeight="251660288" behindDoc="0" locked="0" layoutInCell="1" hidden="0" allowOverlap="1">
                <wp:simplePos x="0" y="0"/>
                <wp:positionH relativeFrom="column">
                  <wp:posOffset>190500</wp:posOffset>
                </wp:positionH>
                <wp:positionV relativeFrom="paragraph">
                  <wp:posOffset>165100</wp:posOffset>
                </wp:positionV>
                <wp:extent cx="5943600" cy="22225"/>
                <wp:effectExtent l="0" t="0" r="0" b="0"/>
                <wp:wrapNone/>
                <wp:docPr id="5" name="Ravni poveznik sa strelicom 5"/>
                <wp:cNvGraphicFramePr/>
                <a:graphic xmlns:a="http://schemas.openxmlformats.org/drawingml/2006/main">
                  <a:graphicData uri="http://schemas.microsoft.com/office/word/2010/wordprocessingShape">
                    <wps:wsp>
                      <wps:cNvCnPr/>
                      <wps:spPr>
                        <a:xfrm>
                          <a:off x="2374200" y="3779683"/>
                          <a:ext cx="5943600" cy="635"/>
                        </a:xfrm>
                        <a:prstGeom prst="straightConnector1">
                          <a:avLst/>
                        </a:prstGeom>
                        <a:solidFill>
                          <a:srgbClr val="FFFFFF"/>
                        </a:solidFill>
                        <a:ln w="22225" cap="flat" cmpd="sng">
                          <a:solidFill>
                            <a:srgbClr val="D4D4D4"/>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190500</wp:posOffset>
                </wp:positionH>
                <wp:positionV relativeFrom="paragraph">
                  <wp:posOffset>165100</wp:posOffset>
                </wp:positionV>
                <wp:extent cx="5943600" cy="22225"/>
                <wp:effectExtent b="0" l="0" r="0" t="0"/>
                <wp:wrapNone/>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943600" cy="22225"/>
                        </a:xfrm>
                        <a:prstGeom prst="rect"/>
                        <a:ln/>
                      </pic:spPr>
                    </pic:pic>
                  </a:graphicData>
                </a:graphic>
              </wp:anchor>
            </w:drawing>
          </mc:Fallback>
        </mc:AlternateContent>
      </w:r>
    </w:p>
    <w:p w:rsidR="007F3A2A" w:rsidRDefault="00427D02">
      <w:pPr>
        <w:numPr>
          <w:ilvl w:val="0"/>
          <w:numId w:val="2"/>
        </w:numPr>
        <w:ind w:left="0" w:hanging="2"/>
        <w:rPr>
          <w:rFonts w:ascii="Arial Narrow" w:eastAsia="Arial Narrow" w:hAnsi="Arial Narrow" w:cs="Arial Narrow"/>
          <w:b/>
          <w:sz w:val="22"/>
          <w:szCs w:val="22"/>
        </w:rPr>
      </w:pPr>
      <w:r>
        <w:rPr>
          <w:rFonts w:ascii="Arial Narrow" w:eastAsia="Arial Narrow" w:hAnsi="Arial Narrow" w:cs="Arial Narrow"/>
          <w:sz w:val="22"/>
          <w:szCs w:val="22"/>
        </w:rPr>
        <w:t>Eligibility and rules of origin</w:t>
      </w:r>
      <w:r>
        <w:rPr>
          <w:rFonts w:ascii="Arial Narrow" w:eastAsia="Arial Narrow" w:hAnsi="Arial Narrow" w:cs="Arial Narrow"/>
          <w:b/>
          <w:sz w:val="22"/>
          <w:szCs w:val="22"/>
        </w:rPr>
        <w:t xml:space="preserve"> / Prihvatljivost i pravila o porijeklu</w:t>
      </w:r>
    </w:p>
    <w:p w:rsidR="007F3A2A" w:rsidRDefault="00427D02">
      <w:pPr>
        <w:widowControl/>
        <w:spacing w:before="0" w:after="360"/>
        <w:ind w:left="0" w:right="1"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All supplies under this contract may originate from any country. / </w:t>
      </w:r>
      <w:r>
        <w:rPr>
          <w:rFonts w:ascii="Arial Narrow" w:eastAsia="Arial Narrow" w:hAnsi="Arial Narrow" w:cs="Arial Narrow"/>
          <w:b/>
          <w:sz w:val="22"/>
          <w:szCs w:val="22"/>
        </w:rPr>
        <w:t>Sva roba nabavljena u okviru ovog ugovora može biti porijeklom iz bilo koje zemlje.</w:t>
      </w:r>
    </w:p>
    <w:p w:rsidR="007F3A2A" w:rsidRDefault="00427D02">
      <w:pPr>
        <w:widowControl/>
        <w:spacing w:before="0" w:after="360"/>
        <w:ind w:left="0" w:right="1"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All supplies under this contract must originate in one or more of these countries./ </w:t>
      </w:r>
      <w:r>
        <w:rPr>
          <w:rFonts w:ascii="Arial Narrow" w:eastAsia="Arial Narrow" w:hAnsi="Arial Narrow" w:cs="Arial Narrow"/>
          <w:b/>
          <w:sz w:val="22"/>
          <w:szCs w:val="22"/>
        </w:rPr>
        <w:t xml:space="preserve">Sva roba nabavljena u okviru ovog ugovora mora biti porijeklom iz jedne ili više od sljedećih zemalja: </w:t>
      </w:r>
    </w:p>
    <w:p w:rsidR="007F3A2A" w:rsidRDefault="00427D02">
      <w:pPr>
        <w:numPr>
          <w:ilvl w:val="0"/>
          <w:numId w:val="2"/>
        </w:numPr>
        <w:ind w:left="0" w:right="1" w:hanging="2"/>
        <w:rPr>
          <w:rFonts w:ascii="Arial Narrow" w:eastAsia="Arial Narrow" w:hAnsi="Arial Narrow" w:cs="Arial Narrow"/>
          <w:b/>
          <w:sz w:val="22"/>
          <w:szCs w:val="22"/>
        </w:rPr>
      </w:pPr>
      <w:r>
        <w:rPr>
          <w:rFonts w:ascii="Arial Narrow" w:eastAsia="Arial Narrow" w:hAnsi="Arial Narrow" w:cs="Arial Narrow"/>
          <w:sz w:val="22"/>
          <w:szCs w:val="22"/>
        </w:rPr>
        <w:t>Grounds for exclusion</w:t>
      </w:r>
      <w:r>
        <w:rPr>
          <w:rFonts w:ascii="Arial Narrow" w:eastAsia="Arial Narrow" w:hAnsi="Arial Narrow" w:cs="Arial Narrow"/>
          <w:b/>
          <w:sz w:val="22"/>
          <w:szCs w:val="22"/>
        </w:rPr>
        <w:t xml:space="preserve"> /  Osnove za isključenje</w:t>
      </w:r>
    </w:p>
    <w:p w:rsidR="007F3A2A" w:rsidRDefault="00427D02">
      <w:pPr>
        <w:pBdr>
          <w:top w:val="nil"/>
          <w:left w:val="nil"/>
          <w:bottom w:val="nil"/>
          <w:right w:val="nil"/>
          <w:between w:val="nil"/>
        </w:pBdr>
        <w:spacing w:line="240" w:lineRule="auto"/>
        <w:ind w:left="0" w:right="1"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Tenderers must submit a signed declaration, included in the Tender Form for a Supply Contract, to the effect that they are not in any of the situations listed in point 2.6.10.1. of the Practical Guide. / </w:t>
      </w:r>
      <w:r>
        <w:rPr>
          <w:rFonts w:ascii="Arial Narrow" w:eastAsia="Arial Narrow" w:hAnsi="Arial Narrow" w:cs="Arial Narrow"/>
          <w:b/>
          <w:color w:val="000000"/>
          <w:sz w:val="22"/>
          <w:szCs w:val="22"/>
        </w:rPr>
        <w:t>Ponuđači moraju podnijeti potpisanu izjavu, uključenu u Obrazac ponude za ugovor o nabavi robe, u kojoj stoji da nisu ni u jednoj od situacija navedenih u t</w:t>
      </w:r>
      <w:r w:rsidR="00B665B2">
        <w:rPr>
          <w:rFonts w:ascii="Arial Narrow" w:eastAsia="Arial Narrow" w:hAnsi="Arial Narrow" w:cs="Arial Narrow"/>
          <w:b/>
          <w:color w:val="000000"/>
          <w:sz w:val="22"/>
          <w:szCs w:val="22"/>
        </w:rPr>
        <w:t>a</w:t>
      </w:r>
      <w:r>
        <w:rPr>
          <w:rFonts w:ascii="Arial Narrow" w:eastAsia="Arial Narrow" w:hAnsi="Arial Narrow" w:cs="Arial Narrow"/>
          <w:b/>
          <w:color w:val="000000"/>
          <w:sz w:val="22"/>
          <w:szCs w:val="22"/>
        </w:rPr>
        <w:t>čki 2.6.10.1. Praktičnog vodiča</w:t>
      </w:r>
    </w:p>
    <w:p w:rsidR="00AD1A71" w:rsidRDefault="00427D02" w:rsidP="00A32B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jc w:val="both"/>
        <w:rPr>
          <w:rFonts w:ascii="Arial Narrow" w:eastAsia="Arial Narrow" w:hAnsi="Arial Narrow" w:cs="Arial Narrow"/>
          <w:color w:val="222222"/>
        </w:rPr>
      </w:pPr>
      <w:r>
        <w:rPr>
          <w:rFonts w:ascii="Arial Narrow" w:eastAsia="Arial Narrow" w:hAnsi="Arial Narrow" w:cs="Arial Narrow"/>
          <w:color w:val="000000"/>
        </w:rPr>
        <w:t>Tenderers included in the lists of EU restrictive measures (see Section 2.4. of the PRAG) at the moment of the award decision cannot be awarded the contract./</w:t>
      </w:r>
      <w:r>
        <w:rPr>
          <w:rFonts w:ascii="Arial Narrow" w:eastAsia="Arial Narrow" w:hAnsi="Arial Narrow" w:cs="Arial Narrow"/>
          <w:color w:val="222222"/>
        </w:rPr>
        <w:t xml:space="preserve"> </w:t>
      </w:r>
    </w:p>
    <w:p w:rsidR="007F3A2A" w:rsidRDefault="00427D02" w:rsidP="00A32B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jc w:val="both"/>
        <w:rPr>
          <w:rFonts w:ascii="Arial Narrow" w:eastAsia="Arial Narrow" w:hAnsi="Arial Narrow" w:cs="Arial Narrow"/>
          <w:color w:val="222222"/>
        </w:rPr>
      </w:pPr>
      <w:r>
        <w:rPr>
          <w:rFonts w:ascii="Arial Narrow" w:eastAsia="Arial Narrow" w:hAnsi="Arial Narrow" w:cs="Arial Narrow"/>
          <w:b/>
          <w:color w:val="222222"/>
          <w:sz w:val="22"/>
          <w:szCs w:val="22"/>
        </w:rPr>
        <w:t>Ponu</w:t>
      </w:r>
      <w:r w:rsidR="00040451">
        <w:rPr>
          <w:rFonts w:ascii="Arial Narrow" w:eastAsia="Arial Narrow" w:hAnsi="Arial Narrow" w:cs="Arial Narrow"/>
          <w:b/>
          <w:color w:val="222222"/>
          <w:sz w:val="22"/>
          <w:szCs w:val="22"/>
        </w:rPr>
        <w:t>đačima</w:t>
      </w:r>
      <w:r>
        <w:rPr>
          <w:rFonts w:ascii="Arial Narrow" w:eastAsia="Arial Narrow" w:hAnsi="Arial Narrow" w:cs="Arial Narrow"/>
          <w:b/>
          <w:color w:val="222222"/>
          <w:sz w:val="22"/>
          <w:szCs w:val="22"/>
        </w:rPr>
        <w:t xml:space="preserve"> koji se nalaze na popisima EU restriktivnih mjera (vidi odjeljak 2.4. PRAG-a) u trenutku donošenja odluke o dodjeli se ne može dodijeliti ugovor</w:t>
      </w:r>
      <w:r>
        <w:rPr>
          <w:rFonts w:ascii="Arial Narrow" w:eastAsia="Arial Narrow" w:hAnsi="Arial Narrow" w:cs="Arial Narrow"/>
          <w:b/>
          <w:color w:val="222222"/>
        </w:rPr>
        <w:t>.</w:t>
      </w:r>
    </w:p>
    <w:p w:rsidR="007F3A2A" w:rsidRDefault="007F3A2A">
      <w:pPr>
        <w:widowControl/>
        <w:shd w:val="clear" w:color="auto" w:fill="F8F9FA"/>
        <w:spacing w:before="0" w:after="0"/>
        <w:ind w:left="0" w:hanging="2"/>
        <w:rPr>
          <w:rFonts w:ascii="Arial" w:eastAsia="Arial" w:hAnsi="Arial" w:cs="Arial"/>
          <w:color w:val="000000"/>
          <w:sz w:val="18"/>
          <w:szCs w:val="18"/>
        </w:rPr>
      </w:pPr>
    </w:p>
    <w:p w:rsidR="007F3A2A" w:rsidRPr="00EC0C19" w:rsidRDefault="00427D02">
      <w:pPr>
        <w:pBdr>
          <w:top w:val="nil"/>
          <w:left w:val="nil"/>
          <w:bottom w:val="nil"/>
          <w:right w:val="nil"/>
          <w:between w:val="nil"/>
        </w:pBdr>
        <w:spacing w:line="240" w:lineRule="auto"/>
        <w:ind w:left="0" w:right="1" w:hanging="2"/>
        <w:jc w:val="both"/>
        <w:rPr>
          <w:color w:val="000000"/>
          <w:sz w:val="16"/>
          <w:szCs w:val="16"/>
        </w:rPr>
      </w:pPr>
      <w:r w:rsidRPr="00EC0C19">
        <w:rPr>
          <w:color w:val="000000"/>
          <w:sz w:val="16"/>
          <w:szCs w:val="16"/>
        </w:rPr>
        <w:t xml:space="preserve"> </w:t>
      </w:r>
    </w:p>
    <w:p w:rsidR="007F3A2A" w:rsidRDefault="00427D02">
      <w:pPr>
        <w:numPr>
          <w:ilvl w:val="0"/>
          <w:numId w:val="2"/>
        </w:numPr>
        <w:ind w:left="0" w:right="1" w:hanging="2"/>
        <w:rPr>
          <w:rFonts w:ascii="Arial Narrow" w:eastAsia="Arial Narrow" w:hAnsi="Arial Narrow" w:cs="Arial Narrow"/>
          <w:b/>
          <w:sz w:val="22"/>
          <w:szCs w:val="22"/>
        </w:rPr>
      </w:pPr>
      <w:r>
        <w:rPr>
          <w:rFonts w:ascii="Arial Narrow" w:eastAsia="Arial Narrow" w:hAnsi="Arial Narrow" w:cs="Arial Narrow"/>
          <w:b/>
          <w:sz w:val="22"/>
          <w:szCs w:val="22"/>
        </w:rPr>
        <w:t>Number of tenders / Broj ponuda</w:t>
      </w:r>
    </w:p>
    <w:p w:rsidR="007F3A2A" w:rsidRDefault="00427D02">
      <w:pPr>
        <w:pBdr>
          <w:top w:val="nil"/>
          <w:left w:val="nil"/>
          <w:bottom w:val="nil"/>
          <w:right w:val="nil"/>
          <w:between w:val="nil"/>
        </w:pBdr>
        <w:spacing w:line="240" w:lineRule="auto"/>
        <w:ind w:left="0" w:right="4"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candidates may submit an application for one lot only, several lots or all of the lots, but only one application may be submitted per lot.. Tenders for parts of a lot will not be considered.. Tenderers may not submit a tender for a variant solution in addition to their tender for the supplies required in the tender dossier. / </w:t>
      </w:r>
      <w:r>
        <w:rPr>
          <w:rFonts w:ascii="Arial Narrow" w:eastAsia="Arial Narrow" w:hAnsi="Arial Narrow" w:cs="Arial Narrow"/>
          <w:b/>
          <w:color w:val="000000"/>
          <w:sz w:val="22"/>
          <w:szCs w:val="22"/>
        </w:rPr>
        <w:t>Ponuđači mogu podnijeti ponudu za samo jedan lot, za više lotova ili za sve lotove, ali mogu podnijeti samo jednu ponudu po lotu. Ponude za dijelove  lotova neće biti razmatrane. Ponuđači  ne s</w:t>
      </w:r>
      <w:r w:rsidR="00EC0C19">
        <w:rPr>
          <w:rFonts w:ascii="Arial Narrow" w:eastAsia="Arial Narrow" w:hAnsi="Arial Narrow" w:cs="Arial Narrow"/>
          <w:b/>
          <w:color w:val="000000"/>
          <w:sz w:val="22"/>
          <w:szCs w:val="22"/>
        </w:rPr>
        <w:t xml:space="preserve">miju podnijeti dodatnu ponudu sa </w:t>
      </w:r>
      <w:r>
        <w:rPr>
          <w:rFonts w:ascii="Arial Narrow" w:eastAsia="Arial Narrow" w:hAnsi="Arial Narrow" w:cs="Arial Narrow"/>
          <w:b/>
          <w:color w:val="000000"/>
          <w:sz w:val="22"/>
          <w:szCs w:val="22"/>
        </w:rPr>
        <w:t>alternativnim rješenjem, pored svoje ponude za nabavu robe koja se zahtjeva natječajnom dokumentacijom.</w:t>
      </w:r>
    </w:p>
    <w:p w:rsidR="007F3A2A" w:rsidRDefault="007F3A2A">
      <w:pPr>
        <w:pBdr>
          <w:top w:val="nil"/>
          <w:left w:val="nil"/>
          <w:bottom w:val="nil"/>
          <w:right w:val="nil"/>
          <w:between w:val="nil"/>
        </w:pBdr>
        <w:spacing w:line="240" w:lineRule="auto"/>
        <w:ind w:left="0" w:right="4" w:hanging="2"/>
        <w:jc w:val="both"/>
        <w:rPr>
          <w:rFonts w:ascii="Arial Narrow" w:eastAsia="Arial Narrow" w:hAnsi="Arial Narrow" w:cs="Arial Narrow"/>
          <w:color w:val="000000"/>
          <w:sz w:val="22"/>
          <w:szCs w:val="22"/>
        </w:rPr>
      </w:pPr>
    </w:p>
    <w:p w:rsidR="007F3A2A" w:rsidRDefault="00427D02">
      <w:pPr>
        <w:widowControl/>
        <w:ind w:left="0" w:right="26"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Contracts will be awarded lot by lot and each lot will form a separate contract. Any tenderer may state in its tender that it would offer a discount in the event that its tender is accepted for more than one lot.  / </w:t>
      </w:r>
      <w:r>
        <w:rPr>
          <w:rFonts w:ascii="Arial Narrow" w:eastAsia="Arial Narrow" w:hAnsi="Arial Narrow" w:cs="Arial Narrow"/>
          <w:b/>
          <w:sz w:val="22"/>
          <w:szCs w:val="22"/>
        </w:rPr>
        <w:t>Ugovori će biti dodjeljivani po lotu i svaki lot će formirati zaseban ugovor.</w:t>
      </w:r>
      <w:r>
        <w:rPr>
          <w:rFonts w:ascii="Arial Narrow" w:eastAsia="Arial Narrow" w:hAnsi="Arial Narrow" w:cs="Arial Narrow"/>
          <w:sz w:val="22"/>
          <w:szCs w:val="22"/>
        </w:rPr>
        <w:t xml:space="preserve">  </w:t>
      </w:r>
      <w:r>
        <w:rPr>
          <w:rFonts w:ascii="Arial Narrow" w:eastAsia="Arial Narrow" w:hAnsi="Arial Narrow" w:cs="Arial Narrow"/>
          <w:b/>
          <w:sz w:val="22"/>
          <w:szCs w:val="22"/>
        </w:rPr>
        <w:t>Svaki Ponuđač može navesti u svojoj ponudi da će ponuditi popust u slučaju da njegova ponuda bude prihvaćena za više od jednog lota.</w:t>
      </w:r>
    </w:p>
    <w:p w:rsidR="007F3A2A" w:rsidRDefault="007F3A2A">
      <w:pPr>
        <w:pBdr>
          <w:top w:val="nil"/>
          <w:left w:val="nil"/>
          <w:bottom w:val="nil"/>
          <w:right w:val="nil"/>
          <w:between w:val="nil"/>
        </w:pBdr>
        <w:spacing w:line="240" w:lineRule="auto"/>
        <w:ind w:left="0" w:right="4" w:hanging="2"/>
        <w:jc w:val="both"/>
        <w:rPr>
          <w:rFonts w:ascii="Arial Narrow" w:eastAsia="Arial Narrow" w:hAnsi="Arial Narrow" w:cs="Arial Narrow"/>
          <w:color w:val="000000"/>
          <w:sz w:val="22"/>
          <w:szCs w:val="22"/>
        </w:rPr>
      </w:pPr>
    </w:p>
    <w:p w:rsidR="007F3A2A" w:rsidRDefault="00427D02">
      <w:pPr>
        <w:numPr>
          <w:ilvl w:val="0"/>
          <w:numId w:val="2"/>
        </w:numPr>
        <w:ind w:left="0" w:right="1" w:hanging="2"/>
        <w:rPr>
          <w:rFonts w:ascii="Arial Narrow" w:eastAsia="Arial Narrow" w:hAnsi="Arial Narrow" w:cs="Arial Narrow"/>
          <w:b/>
          <w:sz w:val="22"/>
          <w:szCs w:val="22"/>
        </w:rPr>
      </w:pPr>
      <w:r>
        <w:rPr>
          <w:rFonts w:ascii="Arial Narrow" w:eastAsia="Arial Narrow" w:hAnsi="Arial Narrow" w:cs="Arial Narrow"/>
          <w:b/>
          <w:sz w:val="22"/>
          <w:szCs w:val="22"/>
        </w:rPr>
        <w:t>Tender guarantee / Garancija za ozbiljnost ponude</w:t>
      </w:r>
    </w:p>
    <w:p w:rsidR="007F3A2A" w:rsidRDefault="00427D02">
      <w:pPr>
        <w:pBdr>
          <w:top w:val="nil"/>
          <w:left w:val="nil"/>
          <w:bottom w:val="nil"/>
          <w:right w:val="nil"/>
          <w:between w:val="nil"/>
        </w:pBdr>
        <w:spacing w:line="240" w:lineRule="auto"/>
        <w:ind w:left="0" w:right="4"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tender guarantee is required. /</w:t>
      </w:r>
      <w:r>
        <w:rPr>
          <w:rFonts w:ascii="Arial Narrow" w:eastAsia="Arial Narrow" w:hAnsi="Arial Narrow" w:cs="Arial Narrow"/>
          <w:b/>
          <w:color w:val="000000"/>
          <w:sz w:val="22"/>
          <w:szCs w:val="22"/>
        </w:rPr>
        <w:t xml:space="preserve"> Ne traži se garancija za ozbiljnost ponude. </w:t>
      </w:r>
    </w:p>
    <w:p w:rsidR="00EC0C19" w:rsidRPr="00EC0C19" w:rsidRDefault="00EC0C19" w:rsidP="00040451">
      <w:pPr>
        <w:widowControl/>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jc w:val="both"/>
        <w:rPr>
          <w:rFonts w:ascii="Arial Narrow" w:eastAsia="Arial Narrow" w:hAnsi="Arial Narrow" w:cs="Arial Narrow"/>
          <w:color w:val="000000"/>
          <w:sz w:val="16"/>
          <w:szCs w:val="16"/>
        </w:rPr>
      </w:pPr>
    </w:p>
    <w:p w:rsidR="007F3A2A" w:rsidRDefault="00427D02" w:rsidP="00040451">
      <w:pPr>
        <w:widowControl/>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jc w:val="both"/>
        <w:rPr>
          <w:rFonts w:ascii="Arial Narrow" w:eastAsia="Arial Narrow" w:hAnsi="Arial Narrow" w:cs="Arial Narrow"/>
          <w:color w:val="222222"/>
          <w:sz w:val="22"/>
          <w:szCs w:val="22"/>
        </w:rPr>
      </w:pPr>
      <w:r w:rsidRPr="003F604D">
        <w:rPr>
          <w:rFonts w:ascii="Arial Narrow" w:eastAsia="Arial Narrow" w:hAnsi="Arial Narrow" w:cs="Arial Narrow"/>
          <w:color w:val="000000"/>
          <w:sz w:val="22"/>
          <w:szCs w:val="22"/>
        </w:rPr>
        <w:t>Tenderers must provide a tender guarantee of when submitting their tender. This guarantee will be released to unsuccessful tenderers once the tender procedure has been completed and to the successful tenderer[s] upon signature of the contract by all parties. This guarantee will be called upon if the tenderer does not fulfil all obligations stated in its tender./</w:t>
      </w:r>
      <w:r w:rsidRPr="003F604D">
        <w:rPr>
          <w:rFonts w:ascii="Arial Narrow" w:eastAsia="Arial Narrow" w:hAnsi="Arial Narrow" w:cs="Arial Narrow"/>
          <w:b/>
          <w:color w:val="222222"/>
          <w:sz w:val="22"/>
          <w:szCs w:val="22"/>
        </w:rPr>
        <w:t>Ponu</w:t>
      </w:r>
      <w:r w:rsidR="00040451" w:rsidRPr="003F604D">
        <w:rPr>
          <w:rFonts w:ascii="Arial Narrow" w:eastAsia="Arial Narrow" w:hAnsi="Arial Narrow" w:cs="Arial Narrow"/>
          <w:b/>
          <w:color w:val="222222"/>
          <w:sz w:val="22"/>
          <w:szCs w:val="22"/>
        </w:rPr>
        <w:t>đači</w:t>
      </w:r>
      <w:r w:rsidRPr="003F604D">
        <w:rPr>
          <w:rFonts w:ascii="Arial Narrow" w:eastAsia="Arial Narrow" w:hAnsi="Arial Narrow" w:cs="Arial Narrow"/>
          <w:b/>
          <w:color w:val="222222"/>
          <w:sz w:val="22"/>
          <w:szCs w:val="22"/>
        </w:rPr>
        <w:t xml:space="preserve"> moraju pružiti </w:t>
      </w:r>
      <w:r w:rsidR="00040451" w:rsidRPr="003F604D">
        <w:rPr>
          <w:rFonts w:ascii="Arial Narrow" w:eastAsia="Arial Narrow" w:hAnsi="Arial Narrow" w:cs="Arial Narrow"/>
          <w:b/>
          <w:color w:val="222222"/>
          <w:sz w:val="22"/>
          <w:szCs w:val="22"/>
        </w:rPr>
        <w:t xml:space="preserve">garanciju </w:t>
      </w:r>
      <w:r w:rsidRPr="003F604D">
        <w:rPr>
          <w:rFonts w:ascii="Arial Narrow" w:eastAsia="Arial Narrow" w:hAnsi="Arial Narrow" w:cs="Arial Narrow"/>
          <w:b/>
          <w:color w:val="222222"/>
          <w:sz w:val="22"/>
          <w:szCs w:val="22"/>
        </w:rPr>
        <w:t>za ponudu prilikom podnošenja ponude. Neuspješnim</w:t>
      </w:r>
      <w:r>
        <w:rPr>
          <w:rFonts w:ascii="Arial Narrow" w:eastAsia="Arial Narrow" w:hAnsi="Arial Narrow" w:cs="Arial Narrow"/>
          <w:b/>
          <w:color w:val="222222"/>
          <w:sz w:val="22"/>
          <w:szCs w:val="22"/>
        </w:rPr>
        <w:t xml:space="preserve"> </w:t>
      </w:r>
      <w:r w:rsidR="00200C38">
        <w:rPr>
          <w:rFonts w:ascii="Arial Narrow" w:eastAsia="Arial Narrow" w:hAnsi="Arial Narrow" w:cs="Arial Narrow"/>
          <w:b/>
          <w:color w:val="222222"/>
          <w:sz w:val="22"/>
          <w:szCs w:val="22"/>
        </w:rPr>
        <w:t>P</w:t>
      </w:r>
      <w:r>
        <w:rPr>
          <w:rFonts w:ascii="Arial Narrow" w:eastAsia="Arial Narrow" w:hAnsi="Arial Narrow" w:cs="Arial Narrow"/>
          <w:b/>
          <w:color w:val="222222"/>
          <w:sz w:val="22"/>
          <w:szCs w:val="22"/>
        </w:rPr>
        <w:t>onu</w:t>
      </w:r>
      <w:r w:rsidR="00040451">
        <w:rPr>
          <w:rFonts w:ascii="Arial Narrow" w:eastAsia="Arial Narrow" w:hAnsi="Arial Narrow" w:cs="Arial Narrow"/>
          <w:b/>
          <w:color w:val="222222"/>
          <w:sz w:val="22"/>
          <w:szCs w:val="22"/>
        </w:rPr>
        <w:t>đačima</w:t>
      </w:r>
      <w:r>
        <w:rPr>
          <w:rFonts w:ascii="Arial Narrow" w:eastAsia="Arial Narrow" w:hAnsi="Arial Narrow" w:cs="Arial Narrow"/>
          <w:b/>
          <w:color w:val="222222"/>
          <w:sz w:val="22"/>
          <w:szCs w:val="22"/>
        </w:rPr>
        <w:t xml:space="preserve"> ov</w:t>
      </w:r>
      <w:r w:rsidR="00040451">
        <w:rPr>
          <w:rFonts w:ascii="Arial Narrow" w:eastAsia="Arial Narrow" w:hAnsi="Arial Narrow" w:cs="Arial Narrow"/>
          <w:b/>
          <w:color w:val="222222"/>
          <w:sz w:val="22"/>
          <w:szCs w:val="22"/>
        </w:rPr>
        <w:t>a</w:t>
      </w:r>
      <w:r>
        <w:rPr>
          <w:rFonts w:ascii="Arial Narrow" w:eastAsia="Arial Narrow" w:hAnsi="Arial Narrow" w:cs="Arial Narrow"/>
          <w:b/>
          <w:color w:val="222222"/>
          <w:sz w:val="22"/>
          <w:szCs w:val="22"/>
        </w:rPr>
        <w:t xml:space="preserve"> će </w:t>
      </w:r>
      <w:r w:rsidR="00040451">
        <w:rPr>
          <w:rFonts w:ascii="Arial Narrow" w:eastAsia="Arial Narrow" w:hAnsi="Arial Narrow" w:cs="Arial Narrow"/>
          <w:b/>
          <w:color w:val="222222"/>
          <w:sz w:val="22"/>
          <w:szCs w:val="22"/>
        </w:rPr>
        <w:t xml:space="preserve">garancija </w:t>
      </w:r>
      <w:r>
        <w:rPr>
          <w:rFonts w:ascii="Arial Narrow" w:eastAsia="Arial Narrow" w:hAnsi="Arial Narrow" w:cs="Arial Narrow"/>
          <w:b/>
          <w:color w:val="222222"/>
          <w:sz w:val="22"/>
          <w:szCs w:val="22"/>
        </w:rPr>
        <w:t>biti vraćen</w:t>
      </w:r>
      <w:r w:rsidR="00040451">
        <w:rPr>
          <w:rFonts w:ascii="Arial Narrow" w:eastAsia="Arial Narrow" w:hAnsi="Arial Narrow" w:cs="Arial Narrow"/>
          <w:b/>
          <w:color w:val="222222"/>
          <w:sz w:val="22"/>
          <w:szCs w:val="22"/>
        </w:rPr>
        <w:t>a</w:t>
      </w:r>
      <w:r>
        <w:rPr>
          <w:rFonts w:ascii="Arial Narrow" w:eastAsia="Arial Narrow" w:hAnsi="Arial Narrow" w:cs="Arial Narrow"/>
          <w:b/>
          <w:color w:val="222222"/>
          <w:sz w:val="22"/>
          <w:szCs w:val="22"/>
        </w:rPr>
        <w:t xml:space="preserve"> nakon završetka postu</w:t>
      </w:r>
      <w:r w:rsidR="00040451">
        <w:rPr>
          <w:rFonts w:ascii="Arial Narrow" w:eastAsia="Arial Narrow" w:hAnsi="Arial Narrow" w:cs="Arial Narrow"/>
          <w:b/>
          <w:color w:val="222222"/>
          <w:sz w:val="22"/>
          <w:szCs w:val="22"/>
        </w:rPr>
        <w:t xml:space="preserve">pka natječaja, a uspješnim </w:t>
      </w:r>
      <w:r w:rsidR="00200C38">
        <w:rPr>
          <w:rFonts w:ascii="Arial Narrow" w:eastAsia="Arial Narrow" w:hAnsi="Arial Narrow" w:cs="Arial Narrow"/>
          <w:b/>
          <w:color w:val="222222"/>
          <w:sz w:val="22"/>
          <w:szCs w:val="22"/>
        </w:rPr>
        <w:t>P</w:t>
      </w:r>
      <w:r w:rsidR="00040451">
        <w:rPr>
          <w:rFonts w:ascii="Arial Narrow" w:eastAsia="Arial Narrow" w:hAnsi="Arial Narrow" w:cs="Arial Narrow"/>
          <w:b/>
          <w:color w:val="222222"/>
          <w:sz w:val="22"/>
          <w:szCs w:val="22"/>
        </w:rPr>
        <w:t xml:space="preserve">onuđačima nakon potpisivanja ugovora. Ova garancija će se iskoristiti ako </w:t>
      </w:r>
      <w:r w:rsidR="00200C38">
        <w:rPr>
          <w:rFonts w:ascii="Arial Narrow" w:eastAsia="Arial Narrow" w:hAnsi="Arial Narrow" w:cs="Arial Narrow"/>
          <w:b/>
          <w:color w:val="222222"/>
          <w:sz w:val="22"/>
          <w:szCs w:val="22"/>
        </w:rPr>
        <w:t>P</w:t>
      </w:r>
      <w:r w:rsidR="00040451">
        <w:rPr>
          <w:rFonts w:ascii="Arial Narrow" w:eastAsia="Arial Narrow" w:hAnsi="Arial Narrow" w:cs="Arial Narrow"/>
          <w:b/>
          <w:color w:val="222222"/>
          <w:sz w:val="22"/>
          <w:szCs w:val="22"/>
        </w:rPr>
        <w:t>onuđač</w:t>
      </w:r>
      <w:r>
        <w:rPr>
          <w:rFonts w:ascii="Arial Narrow" w:eastAsia="Arial Narrow" w:hAnsi="Arial Narrow" w:cs="Arial Narrow"/>
          <w:b/>
          <w:color w:val="222222"/>
          <w:sz w:val="22"/>
          <w:szCs w:val="22"/>
        </w:rPr>
        <w:t xml:space="preserve"> ne ispuni sve ob</w:t>
      </w:r>
      <w:r w:rsidR="00040451">
        <w:rPr>
          <w:rFonts w:ascii="Arial Narrow" w:eastAsia="Arial Narrow" w:hAnsi="Arial Narrow" w:cs="Arial Narrow"/>
          <w:b/>
          <w:color w:val="222222"/>
          <w:sz w:val="22"/>
          <w:szCs w:val="22"/>
        </w:rPr>
        <w:t>a</w:t>
      </w:r>
      <w:r>
        <w:rPr>
          <w:rFonts w:ascii="Arial Narrow" w:eastAsia="Arial Narrow" w:hAnsi="Arial Narrow" w:cs="Arial Narrow"/>
          <w:b/>
          <w:color w:val="222222"/>
          <w:sz w:val="22"/>
          <w:szCs w:val="22"/>
        </w:rPr>
        <w:t>veze iz ponude.</w:t>
      </w:r>
    </w:p>
    <w:p w:rsidR="007F3A2A" w:rsidRDefault="007F3A2A">
      <w:pPr>
        <w:pBdr>
          <w:top w:val="nil"/>
          <w:left w:val="nil"/>
          <w:bottom w:val="nil"/>
          <w:right w:val="nil"/>
          <w:between w:val="nil"/>
        </w:pBdr>
        <w:spacing w:line="240" w:lineRule="auto"/>
        <w:ind w:left="0" w:right="4" w:hanging="2"/>
        <w:jc w:val="both"/>
        <w:rPr>
          <w:rFonts w:ascii="Arial Narrow" w:eastAsia="Arial Narrow" w:hAnsi="Arial Narrow" w:cs="Arial Narrow"/>
          <w:color w:val="000000"/>
          <w:sz w:val="22"/>
          <w:szCs w:val="22"/>
        </w:rPr>
      </w:pPr>
    </w:p>
    <w:p w:rsidR="007F3A2A" w:rsidRDefault="00427D02">
      <w:pPr>
        <w:keepNext/>
        <w:keepLines/>
        <w:numPr>
          <w:ilvl w:val="0"/>
          <w:numId w:val="2"/>
        </w:numPr>
        <w:ind w:left="0" w:right="1" w:hanging="2"/>
        <w:rPr>
          <w:rFonts w:ascii="Arial Narrow" w:eastAsia="Arial Narrow" w:hAnsi="Arial Narrow" w:cs="Arial Narrow"/>
          <w:b/>
          <w:sz w:val="22"/>
          <w:szCs w:val="22"/>
        </w:rPr>
      </w:pPr>
      <w:r>
        <w:rPr>
          <w:rFonts w:ascii="Arial Narrow" w:eastAsia="Arial Narrow" w:hAnsi="Arial Narrow" w:cs="Arial Narrow"/>
          <w:sz w:val="22"/>
          <w:szCs w:val="22"/>
        </w:rPr>
        <w:t>Performance guarantee</w:t>
      </w:r>
      <w:r>
        <w:rPr>
          <w:rFonts w:ascii="Arial Narrow" w:eastAsia="Arial Narrow" w:hAnsi="Arial Narrow" w:cs="Arial Narrow"/>
          <w:b/>
          <w:sz w:val="22"/>
          <w:szCs w:val="22"/>
        </w:rPr>
        <w:t xml:space="preserve"> / Garancija za uredno ispunjenje ugovora</w:t>
      </w:r>
    </w:p>
    <w:p w:rsidR="007F3A2A" w:rsidRDefault="00427D02" w:rsidP="00082173">
      <w:pPr>
        <w:spacing w:before="0" w:after="0"/>
        <w:ind w:left="0" w:right="1"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 performance guarantee is required. / </w:t>
      </w:r>
      <w:r>
        <w:rPr>
          <w:rFonts w:ascii="Arial Narrow" w:eastAsia="Arial Narrow" w:hAnsi="Arial Narrow" w:cs="Arial Narrow"/>
          <w:b/>
          <w:color w:val="000000"/>
          <w:sz w:val="22"/>
          <w:szCs w:val="22"/>
        </w:rPr>
        <w:t>Ne traži se garancija za uredno ispunjenje ugovora</w:t>
      </w:r>
    </w:p>
    <w:p w:rsidR="00EC0C19" w:rsidRDefault="00EC0C19" w:rsidP="0008217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jc w:val="both"/>
        <w:rPr>
          <w:rFonts w:ascii="Arial Narrow" w:eastAsia="Arial Narrow" w:hAnsi="Arial Narrow" w:cs="Arial Narrow"/>
          <w:color w:val="000000"/>
          <w:sz w:val="22"/>
          <w:szCs w:val="22"/>
        </w:rPr>
      </w:pPr>
    </w:p>
    <w:p w:rsidR="007F3A2A" w:rsidRDefault="00427D02" w:rsidP="0008217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jc w:val="both"/>
        <w:rPr>
          <w:rFonts w:ascii="Arial Narrow" w:eastAsia="Arial Narrow" w:hAnsi="Arial Narrow" w:cs="Arial Narrow"/>
          <w:color w:val="222222"/>
          <w:sz w:val="22"/>
          <w:szCs w:val="22"/>
        </w:rPr>
      </w:pPr>
      <w:r>
        <w:rPr>
          <w:rFonts w:ascii="Arial Narrow" w:eastAsia="Arial Narrow" w:hAnsi="Arial Narrow" w:cs="Arial Narrow"/>
          <w:color w:val="000000"/>
          <w:sz w:val="22"/>
          <w:szCs w:val="22"/>
        </w:rPr>
        <w:t>The successful tenderer will be asked to provide a performance guarantee of  5-10%cof the amount of the contract at the signing of the contract. This guarantee must be provided together with the return of the countersigned contract no later than 30 days after the tenderer receives the contract signed by the contracting authority. If the selected tenderer fails to provide such a guarantee within this period, the contract will be void and a new contract may be drawn up and sent to the tenderer which has submitted the next cheapest compliant tender./</w:t>
      </w:r>
      <w:r>
        <w:rPr>
          <w:rFonts w:ascii="Arial Narrow" w:eastAsia="Arial Narrow" w:hAnsi="Arial Narrow" w:cs="Arial Narrow"/>
          <w:color w:val="222222"/>
          <w:sz w:val="47"/>
          <w:szCs w:val="47"/>
        </w:rPr>
        <w:t xml:space="preserve"> </w:t>
      </w:r>
      <w:r>
        <w:rPr>
          <w:rFonts w:ascii="Arial Narrow" w:eastAsia="Arial Narrow" w:hAnsi="Arial Narrow" w:cs="Arial Narrow"/>
          <w:b/>
          <w:color w:val="222222"/>
          <w:sz w:val="22"/>
          <w:szCs w:val="22"/>
        </w:rPr>
        <w:t xml:space="preserve">Od uspješnog </w:t>
      </w:r>
      <w:r w:rsidR="00200C38">
        <w:rPr>
          <w:rFonts w:ascii="Arial Narrow" w:eastAsia="Arial Narrow" w:hAnsi="Arial Narrow" w:cs="Arial Narrow"/>
          <w:b/>
          <w:color w:val="222222"/>
          <w:sz w:val="22"/>
          <w:szCs w:val="22"/>
        </w:rPr>
        <w:t>P</w:t>
      </w:r>
      <w:r>
        <w:rPr>
          <w:rFonts w:ascii="Arial Narrow" w:eastAsia="Arial Narrow" w:hAnsi="Arial Narrow" w:cs="Arial Narrow"/>
          <w:b/>
          <w:color w:val="222222"/>
          <w:sz w:val="22"/>
          <w:szCs w:val="22"/>
        </w:rPr>
        <w:t>onu</w:t>
      </w:r>
      <w:r w:rsidR="00FB6800">
        <w:rPr>
          <w:rFonts w:ascii="Arial Narrow" w:eastAsia="Arial Narrow" w:hAnsi="Arial Narrow" w:cs="Arial Narrow"/>
          <w:b/>
          <w:color w:val="222222"/>
          <w:sz w:val="22"/>
          <w:szCs w:val="22"/>
        </w:rPr>
        <w:t xml:space="preserve">đača </w:t>
      </w:r>
      <w:r>
        <w:rPr>
          <w:rFonts w:ascii="Arial Narrow" w:eastAsia="Arial Narrow" w:hAnsi="Arial Narrow" w:cs="Arial Narrow"/>
          <w:b/>
          <w:color w:val="222222"/>
          <w:sz w:val="22"/>
          <w:szCs w:val="22"/>
        </w:rPr>
        <w:t xml:space="preserve">će se zatražiti da pri potpisivanju ugovora dostavi garanciju za dobro izvršenje </w:t>
      </w:r>
      <w:r w:rsidR="00FB6800">
        <w:rPr>
          <w:rFonts w:ascii="Arial Narrow" w:eastAsia="Arial Narrow" w:hAnsi="Arial Narrow" w:cs="Arial Narrow"/>
          <w:b/>
          <w:color w:val="222222"/>
          <w:sz w:val="22"/>
          <w:szCs w:val="22"/>
        </w:rPr>
        <w:t>posla u iznosu od 5-10% cof. Ova garancija</w:t>
      </w:r>
      <w:r>
        <w:rPr>
          <w:rFonts w:ascii="Arial Narrow" w:eastAsia="Arial Narrow" w:hAnsi="Arial Narrow" w:cs="Arial Narrow"/>
          <w:b/>
          <w:color w:val="222222"/>
          <w:sz w:val="22"/>
          <w:szCs w:val="22"/>
        </w:rPr>
        <w:t xml:space="preserve"> mora se osigurati zajedno s povratom potpisanog ugovora najkasnije 30 dana nakon što ponu</w:t>
      </w:r>
      <w:r w:rsidR="00FB6800">
        <w:rPr>
          <w:rFonts w:ascii="Arial Narrow" w:eastAsia="Arial Narrow" w:hAnsi="Arial Narrow" w:cs="Arial Narrow"/>
          <w:b/>
          <w:color w:val="222222"/>
          <w:sz w:val="22"/>
          <w:szCs w:val="22"/>
        </w:rPr>
        <w:t xml:space="preserve">đač </w:t>
      </w:r>
      <w:r>
        <w:rPr>
          <w:rFonts w:ascii="Arial Narrow" w:eastAsia="Arial Narrow" w:hAnsi="Arial Narrow" w:cs="Arial Narrow"/>
          <w:b/>
          <w:color w:val="222222"/>
          <w:sz w:val="22"/>
          <w:szCs w:val="22"/>
        </w:rPr>
        <w:t xml:space="preserve">primi ugovor potpisan od strane ugovornog tijela. Ako odabrani </w:t>
      </w:r>
      <w:r w:rsidR="00200C38">
        <w:rPr>
          <w:rFonts w:ascii="Arial Narrow" w:eastAsia="Arial Narrow" w:hAnsi="Arial Narrow" w:cs="Arial Narrow"/>
          <w:b/>
          <w:color w:val="222222"/>
          <w:sz w:val="22"/>
          <w:szCs w:val="22"/>
        </w:rPr>
        <w:t>P</w:t>
      </w:r>
      <w:r>
        <w:rPr>
          <w:rFonts w:ascii="Arial Narrow" w:eastAsia="Arial Narrow" w:hAnsi="Arial Narrow" w:cs="Arial Narrow"/>
          <w:b/>
          <w:color w:val="222222"/>
          <w:sz w:val="22"/>
          <w:szCs w:val="22"/>
        </w:rPr>
        <w:t>onu</w:t>
      </w:r>
      <w:r w:rsidR="00FB6800">
        <w:rPr>
          <w:rFonts w:ascii="Arial Narrow" w:eastAsia="Arial Narrow" w:hAnsi="Arial Narrow" w:cs="Arial Narrow"/>
          <w:b/>
          <w:color w:val="222222"/>
          <w:sz w:val="22"/>
          <w:szCs w:val="22"/>
        </w:rPr>
        <w:t>đač ne pruži takvu</w:t>
      </w:r>
      <w:r>
        <w:rPr>
          <w:rFonts w:ascii="Arial Narrow" w:eastAsia="Arial Narrow" w:hAnsi="Arial Narrow" w:cs="Arial Narrow"/>
          <w:b/>
          <w:color w:val="222222"/>
          <w:sz w:val="22"/>
          <w:szCs w:val="22"/>
        </w:rPr>
        <w:t xml:space="preserve"> </w:t>
      </w:r>
      <w:r w:rsidR="00FB6800">
        <w:rPr>
          <w:rFonts w:ascii="Arial Narrow" w:eastAsia="Arial Narrow" w:hAnsi="Arial Narrow" w:cs="Arial Narrow"/>
          <w:b/>
          <w:color w:val="222222"/>
          <w:sz w:val="22"/>
          <w:szCs w:val="22"/>
        </w:rPr>
        <w:t>garanciju</w:t>
      </w:r>
      <w:r>
        <w:rPr>
          <w:rFonts w:ascii="Arial Narrow" w:eastAsia="Arial Narrow" w:hAnsi="Arial Narrow" w:cs="Arial Narrow"/>
          <w:b/>
          <w:color w:val="222222"/>
          <w:sz w:val="22"/>
          <w:szCs w:val="22"/>
        </w:rPr>
        <w:t xml:space="preserve"> u ovom roku, ugovor će biti nevažeći i novi ugovor se može sastaviti i poslati onom </w:t>
      </w:r>
      <w:r w:rsidR="00200C38">
        <w:rPr>
          <w:rFonts w:ascii="Arial Narrow" w:eastAsia="Arial Narrow" w:hAnsi="Arial Narrow" w:cs="Arial Narrow"/>
          <w:b/>
          <w:color w:val="222222"/>
          <w:sz w:val="22"/>
          <w:szCs w:val="22"/>
        </w:rPr>
        <w:t>P</w:t>
      </w:r>
      <w:r>
        <w:rPr>
          <w:rFonts w:ascii="Arial Narrow" w:eastAsia="Arial Narrow" w:hAnsi="Arial Narrow" w:cs="Arial Narrow"/>
          <w:b/>
          <w:color w:val="222222"/>
          <w:sz w:val="22"/>
          <w:szCs w:val="22"/>
        </w:rPr>
        <w:t>onu</w:t>
      </w:r>
      <w:r w:rsidR="00FB6800">
        <w:rPr>
          <w:rFonts w:ascii="Arial Narrow" w:eastAsia="Arial Narrow" w:hAnsi="Arial Narrow" w:cs="Arial Narrow"/>
          <w:b/>
          <w:color w:val="222222"/>
          <w:sz w:val="22"/>
          <w:szCs w:val="22"/>
        </w:rPr>
        <w:t xml:space="preserve">đaču  </w:t>
      </w:r>
      <w:r>
        <w:rPr>
          <w:rFonts w:ascii="Arial Narrow" w:eastAsia="Arial Narrow" w:hAnsi="Arial Narrow" w:cs="Arial Narrow"/>
          <w:b/>
          <w:color w:val="222222"/>
          <w:sz w:val="22"/>
          <w:szCs w:val="22"/>
        </w:rPr>
        <w:t>koji je podn</w:t>
      </w:r>
      <w:r w:rsidR="00FB6800">
        <w:rPr>
          <w:rFonts w:ascii="Arial Narrow" w:eastAsia="Arial Narrow" w:hAnsi="Arial Narrow" w:cs="Arial Narrow"/>
          <w:b/>
          <w:color w:val="222222"/>
          <w:sz w:val="22"/>
          <w:szCs w:val="22"/>
        </w:rPr>
        <w:t>io sljedeću najjeftiniju ponudu</w:t>
      </w:r>
      <w:r>
        <w:rPr>
          <w:rFonts w:ascii="Arial Narrow" w:eastAsia="Arial Narrow" w:hAnsi="Arial Narrow" w:cs="Arial Narrow"/>
          <w:b/>
          <w:color w:val="222222"/>
          <w:sz w:val="22"/>
          <w:szCs w:val="22"/>
        </w:rPr>
        <w:t>.</w:t>
      </w:r>
    </w:p>
    <w:p w:rsidR="007F3A2A" w:rsidRDefault="007F3A2A" w:rsidP="00082173">
      <w:pPr>
        <w:spacing w:before="0" w:after="120"/>
        <w:ind w:left="0" w:right="1" w:hanging="2"/>
        <w:jc w:val="both"/>
        <w:rPr>
          <w:rFonts w:ascii="Arial Narrow" w:eastAsia="Arial Narrow" w:hAnsi="Arial Narrow" w:cs="Arial Narrow"/>
          <w:color w:val="000000"/>
          <w:sz w:val="22"/>
          <w:szCs w:val="22"/>
        </w:rPr>
      </w:pPr>
    </w:p>
    <w:p w:rsidR="007F3A2A" w:rsidRDefault="00427D02">
      <w:pPr>
        <w:numPr>
          <w:ilvl w:val="0"/>
          <w:numId w:val="2"/>
        </w:numPr>
        <w:ind w:left="0" w:hanging="2"/>
        <w:rPr>
          <w:rFonts w:ascii="Arial Narrow" w:eastAsia="Arial Narrow" w:hAnsi="Arial Narrow" w:cs="Arial Narrow"/>
          <w:b/>
          <w:sz w:val="22"/>
          <w:szCs w:val="22"/>
        </w:rPr>
      </w:pPr>
      <w:r>
        <w:rPr>
          <w:rFonts w:ascii="Arial Narrow" w:eastAsia="Arial Narrow" w:hAnsi="Arial Narrow" w:cs="Arial Narrow"/>
          <w:sz w:val="22"/>
          <w:szCs w:val="22"/>
        </w:rPr>
        <w:t>Information meeting and/or site visit</w:t>
      </w:r>
      <w:r>
        <w:rPr>
          <w:rFonts w:ascii="Arial Narrow" w:eastAsia="Arial Narrow" w:hAnsi="Arial Narrow" w:cs="Arial Narrow"/>
          <w:b/>
          <w:sz w:val="22"/>
          <w:szCs w:val="22"/>
        </w:rPr>
        <w:t xml:space="preserve">  / Informativni sastanak i/ili posjeta na licu mjesta</w:t>
      </w:r>
    </w:p>
    <w:p w:rsidR="007F3A2A" w:rsidRDefault="00427D02">
      <w:pPr>
        <w:pBdr>
          <w:top w:val="nil"/>
          <w:left w:val="nil"/>
          <w:bottom w:val="nil"/>
          <w:right w:val="nil"/>
          <w:between w:val="nil"/>
        </w:pBdr>
        <w:spacing w:line="240" w:lineRule="auto"/>
        <w:ind w:left="0" w:right="36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 information meeting is planned  /  </w:t>
      </w:r>
      <w:r>
        <w:rPr>
          <w:rFonts w:ascii="Arial Narrow" w:eastAsia="Arial Narrow" w:hAnsi="Arial Narrow" w:cs="Arial Narrow"/>
          <w:b/>
          <w:color w:val="000000"/>
          <w:sz w:val="22"/>
          <w:szCs w:val="22"/>
        </w:rPr>
        <w:t>Ne planira se informativni sastanak.</w:t>
      </w:r>
    </w:p>
    <w:p w:rsidR="007F3A2A" w:rsidRDefault="00427D02">
      <w:pPr>
        <w:numPr>
          <w:ilvl w:val="0"/>
          <w:numId w:val="2"/>
        </w:numPr>
        <w:ind w:left="0" w:hanging="2"/>
        <w:rPr>
          <w:rFonts w:ascii="Arial Narrow" w:eastAsia="Arial Narrow" w:hAnsi="Arial Narrow" w:cs="Arial Narrow"/>
          <w:b/>
          <w:sz w:val="22"/>
          <w:szCs w:val="22"/>
        </w:rPr>
      </w:pPr>
      <w:r>
        <w:rPr>
          <w:rFonts w:ascii="Arial Narrow" w:eastAsia="Arial Narrow" w:hAnsi="Arial Narrow" w:cs="Arial Narrow"/>
          <w:sz w:val="22"/>
          <w:szCs w:val="22"/>
        </w:rPr>
        <w:t>Tender validity</w:t>
      </w:r>
      <w:r>
        <w:rPr>
          <w:rFonts w:ascii="Arial Narrow" w:eastAsia="Arial Narrow" w:hAnsi="Arial Narrow" w:cs="Arial Narrow"/>
          <w:b/>
          <w:sz w:val="22"/>
          <w:szCs w:val="22"/>
        </w:rPr>
        <w:t xml:space="preserve"> / Rok ponude</w:t>
      </w:r>
    </w:p>
    <w:p w:rsidR="007F3A2A" w:rsidRDefault="00427D02">
      <w:pPr>
        <w:pBdr>
          <w:top w:val="nil"/>
          <w:left w:val="nil"/>
          <w:bottom w:val="nil"/>
          <w:right w:val="nil"/>
          <w:between w:val="nil"/>
        </w:pBdr>
        <w:spacing w:line="240" w:lineRule="auto"/>
        <w:ind w:left="0" w:right="1"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Tenders must remain valid for a period of 90 days after the deadline for submission of tenders. In exceptional circumstances, the Contracting Authority may, before the validity period expires, request that tenderers extend the validity of tenders for a specific period (see para 8.2 of the instructions to tenderers). / </w:t>
      </w:r>
      <w:r>
        <w:rPr>
          <w:rFonts w:ascii="Arial Narrow" w:eastAsia="Arial Narrow" w:hAnsi="Arial Narrow" w:cs="Arial Narrow"/>
          <w:b/>
          <w:color w:val="000000"/>
          <w:sz w:val="22"/>
          <w:szCs w:val="22"/>
        </w:rPr>
        <w:t>Ponude moraju ostati validne u periodu od 90 dana nakon isteka roka za predaju ponuda. U izuzetnim uslovima, Ugov</w:t>
      </w:r>
      <w:r w:rsidR="00F63225">
        <w:rPr>
          <w:rFonts w:ascii="Arial Narrow" w:eastAsia="Arial Narrow" w:hAnsi="Arial Narrow" w:cs="Arial Narrow"/>
          <w:b/>
          <w:color w:val="000000"/>
          <w:sz w:val="22"/>
          <w:szCs w:val="22"/>
        </w:rPr>
        <w:t xml:space="preserve">orno </w:t>
      </w:r>
      <w:r>
        <w:rPr>
          <w:rFonts w:ascii="Arial Narrow" w:eastAsia="Arial Narrow" w:hAnsi="Arial Narrow" w:cs="Arial Narrow"/>
          <w:b/>
          <w:color w:val="000000"/>
          <w:sz w:val="22"/>
          <w:szCs w:val="22"/>
        </w:rPr>
        <w:t>tijelo može, prije isteka roka ponude, tražiti da Ponuđač produži rok za određeni period (vidjeti član 8.2. uputstva Ponuđačima)</w:t>
      </w:r>
    </w:p>
    <w:p w:rsidR="007F3A2A" w:rsidRPr="00EC0C19" w:rsidRDefault="00427D02">
      <w:pPr>
        <w:numPr>
          <w:ilvl w:val="0"/>
          <w:numId w:val="2"/>
        </w:numPr>
        <w:ind w:left="0" w:hanging="2"/>
        <w:rPr>
          <w:rFonts w:ascii="Arial Narrow" w:eastAsia="Arial Narrow" w:hAnsi="Arial Narrow" w:cs="Arial Narrow"/>
          <w:b/>
          <w:sz w:val="22"/>
          <w:szCs w:val="22"/>
        </w:rPr>
      </w:pPr>
      <w:r w:rsidRPr="00EC0C19">
        <w:rPr>
          <w:rFonts w:ascii="Arial Narrow" w:eastAsia="Arial Narrow" w:hAnsi="Arial Narrow" w:cs="Arial Narrow"/>
          <w:sz w:val="22"/>
          <w:szCs w:val="22"/>
        </w:rPr>
        <w:t>Period of implementation of tasks</w:t>
      </w:r>
      <w:r w:rsidRPr="00EC0C19">
        <w:rPr>
          <w:rFonts w:ascii="Arial Narrow" w:eastAsia="Arial Narrow" w:hAnsi="Arial Narrow" w:cs="Arial Narrow"/>
          <w:b/>
          <w:sz w:val="22"/>
          <w:szCs w:val="22"/>
        </w:rPr>
        <w:t xml:space="preserve"> / Period provedbe zadataka</w:t>
      </w:r>
    </w:p>
    <w:p w:rsidR="007F3A2A" w:rsidRPr="00EC0C19" w:rsidRDefault="00F63225">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EC0C19">
        <w:rPr>
          <w:rFonts w:ascii="Arial Narrow" w:eastAsia="Arial Narrow" w:hAnsi="Arial Narrow" w:cs="Arial Narrow"/>
          <w:sz w:val="22"/>
          <w:szCs w:val="22"/>
        </w:rPr>
        <w:t>60</w:t>
      </w:r>
      <w:r w:rsidR="00427D02" w:rsidRPr="00EC0C19">
        <w:rPr>
          <w:rFonts w:ascii="Arial Narrow" w:eastAsia="Arial Narrow" w:hAnsi="Arial Narrow" w:cs="Arial Narrow"/>
          <w:sz w:val="22"/>
          <w:szCs w:val="22"/>
        </w:rPr>
        <w:t xml:space="preserve"> calendar days, from contract signature / </w:t>
      </w:r>
      <w:r w:rsidRPr="00EC0C19">
        <w:rPr>
          <w:rFonts w:ascii="Arial Narrow" w:eastAsia="Arial Narrow" w:hAnsi="Arial Narrow" w:cs="Arial Narrow"/>
          <w:b/>
          <w:sz w:val="22"/>
          <w:szCs w:val="22"/>
        </w:rPr>
        <w:t>60</w:t>
      </w:r>
      <w:r w:rsidR="00427D02" w:rsidRPr="00EC0C19">
        <w:rPr>
          <w:rFonts w:ascii="Arial Narrow" w:eastAsia="Arial Narrow" w:hAnsi="Arial Narrow" w:cs="Arial Narrow"/>
          <w:b/>
          <w:sz w:val="22"/>
          <w:szCs w:val="22"/>
        </w:rPr>
        <w:t xml:space="preserve"> kalendarskih dana, od potpisivanja ugovora</w:t>
      </w:r>
      <w:r w:rsidR="00427D02" w:rsidRPr="00EC0C19">
        <w:rPr>
          <w:rFonts w:ascii="Arial Narrow" w:eastAsia="Arial Narrow" w:hAnsi="Arial Narrow" w:cs="Arial Narrow"/>
          <w:sz w:val="22"/>
          <w:szCs w:val="22"/>
        </w:rPr>
        <w:t xml:space="preserve"> </w:t>
      </w:r>
    </w:p>
    <w:p w:rsidR="007F3A2A" w:rsidRDefault="007F3A2A">
      <w:pPr>
        <w:pBdr>
          <w:top w:val="nil"/>
          <w:left w:val="nil"/>
          <w:bottom w:val="nil"/>
          <w:right w:val="nil"/>
          <w:between w:val="nil"/>
        </w:pBdr>
        <w:spacing w:line="240" w:lineRule="auto"/>
        <w:ind w:left="0" w:right="1" w:hanging="2"/>
        <w:jc w:val="both"/>
        <w:rPr>
          <w:rFonts w:ascii="Arial Narrow" w:eastAsia="Arial Narrow" w:hAnsi="Arial Narrow" w:cs="Arial Narrow"/>
          <w:color w:val="000000"/>
          <w:sz w:val="22"/>
          <w:szCs w:val="22"/>
        </w:rPr>
      </w:pPr>
    </w:p>
    <w:p w:rsidR="007F3A2A" w:rsidRDefault="00427D02">
      <w:pPr>
        <w:ind w:left="0" w:hanging="2"/>
        <w:rPr>
          <w:rFonts w:ascii="Arial Narrow" w:eastAsia="Arial Narrow" w:hAnsi="Arial Narrow" w:cs="Arial Narrow"/>
          <w:sz w:val="22"/>
          <w:szCs w:val="22"/>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241300</wp:posOffset>
                </wp:positionV>
                <wp:extent cx="5943600" cy="22225"/>
                <wp:effectExtent l="0" t="0" r="0" b="0"/>
                <wp:wrapNone/>
                <wp:docPr id="4" name="Ravni poveznik sa strelicom 4"/>
                <wp:cNvGraphicFramePr/>
                <a:graphic xmlns:a="http://schemas.openxmlformats.org/drawingml/2006/main">
                  <a:graphicData uri="http://schemas.microsoft.com/office/word/2010/wordprocessingShape">
                    <wps:wsp>
                      <wps:cNvCnPr/>
                      <wps:spPr>
                        <a:xfrm>
                          <a:off x="2374200" y="3779683"/>
                          <a:ext cx="5943600" cy="635"/>
                        </a:xfrm>
                        <a:prstGeom prst="straightConnector1">
                          <a:avLst/>
                        </a:prstGeom>
                        <a:solidFill>
                          <a:srgbClr val="FFFFFF"/>
                        </a:solidFill>
                        <a:ln w="22225" cap="flat" cmpd="sng">
                          <a:solidFill>
                            <a:srgbClr val="D4D4D4"/>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22225"/>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943600" cy="22225"/>
                        </a:xfrm>
                        <a:prstGeom prst="rect"/>
                        <a:ln/>
                      </pic:spPr>
                    </pic:pic>
                  </a:graphicData>
                </a:graphic>
              </wp:anchor>
            </w:drawing>
          </mc:Fallback>
        </mc:AlternateContent>
      </w:r>
    </w:p>
    <w:p w:rsidR="007F3A2A" w:rsidRDefault="00427D02">
      <w:pPr>
        <w:ind w:left="0" w:hanging="2"/>
        <w:jc w:val="center"/>
        <w:rPr>
          <w:rFonts w:ascii="Arial Narrow" w:eastAsia="Arial Narrow" w:hAnsi="Arial Narrow" w:cs="Arial Narrow"/>
          <w:b/>
          <w:sz w:val="22"/>
          <w:szCs w:val="22"/>
        </w:rPr>
      </w:pPr>
      <w:r>
        <w:rPr>
          <w:rFonts w:ascii="Arial Narrow" w:eastAsia="Arial Narrow" w:hAnsi="Arial Narrow" w:cs="Arial Narrow"/>
          <w:sz w:val="22"/>
          <w:szCs w:val="22"/>
        </w:rPr>
        <w:t>SELECTION AND AWARD CRITERIA</w:t>
      </w:r>
      <w:r>
        <w:rPr>
          <w:rFonts w:ascii="Arial Narrow" w:eastAsia="Arial Narrow" w:hAnsi="Arial Narrow" w:cs="Arial Narrow"/>
          <w:b/>
          <w:sz w:val="22"/>
          <w:szCs w:val="22"/>
        </w:rPr>
        <w:t xml:space="preserve"> / KRITERIJI ZA ODABIR I DODJELU UGOVORA</w:t>
      </w:r>
    </w:p>
    <w:p w:rsidR="007F3A2A" w:rsidRDefault="007F3A2A">
      <w:pPr>
        <w:ind w:left="0" w:hanging="2"/>
        <w:jc w:val="center"/>
        <w:rPr>
          <w:rFonts w:ascii="Arial Narrow" w:eastAsia="Arial Narrow" w:hAnsi="Arial Narrow" w:cs="Arial Narrow"/>
          <w:b/>
          <w:sz w:val="22"/>
          <w:szCs w:val="22"/>
        </w:rPr>
      </w:pPr>
    </w:p>
    <w:p w:rsidR="007F3A2A" w:rsidRDefault="00427D02">
      <w:pPr>
        <w:numPr>
          <w:ilvl w:val="0"/>
          <w:numId w:val="2"/>
        </w:numPr>
        <w:ind w:left="0" w:hanging="2"/>
        <w:rPr>
          <w:rFonts w:ascii="Arial Narrow" w:eastAsia="Arial Narrow" w:hAnsi="Arial Narrow" w:cs="Arial Narrow"/>
          <w:b/>
          <w:sz w:val="22"/>
          <w:szCs w:val="22"/>
        </w:rPr>
      </w:pPr>
      <w:r>
        <w:rPr>
          <w:rFonts w:ascii="Arial Narrow" w:eastAsia="Arial Narrow" w:hAnsi="Arial Narrow" w:cs="Arial Narrow"/>
          <w:b/>
          <w:sz w:val="22"/>
          <w:szCs w:val="22"/>
        </w:rPr>
        <w:lastRenderedPageBreak/>
        <w:t>Selection criteria  / Kriteriji odabira</w:t>
      </w:r>
    </w:p>
    <w:p w:rsidR="007F3A2A" w:rsidRDefault="00427D0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following selection criteria will be applied to tenderers. In the case of tenders submitted by a consortium, these selection criteria will be applied to the consortium as a whole unless specified otherwise. The selection criteria will not be applied to natural persons and single-member companies when they are sub-contractors: / </w:t>
      </w:r>
      <w:r>
        <w:rPr>
          <w:rFonts w:ascii="Arial Narrow" w:eastAsia="Arial Narrow" w:hAnsi="Arial Narrow" w:cs="Arial Narrow"/>
          <w:b/>
          <w:color w:val="000000"/>
          <w:sz w:val="22"/>
          <w:szCs w:val="22"/>
        </w:rPr>
        <w:t xml:space="preserve">Za Ponuđače vrijede sljedeći kriteriji odabira. U slučaju ponuda koje podnosi konzorcij, ti će se kriteriji odabira primjenjivati na konzorcij u cjelini. Kriteriji odabira neće se primjenjivati na fizička lica i firme sa jednim uposlenim kada su oni podugovarači. </w:t>
      </w:r>
    </w:p>
    <w:p w:rsidR="007F3A2A" w:rsidRDefault="00427D0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1) </w:t>
      </w:r>
      <w:r>
        <w:rPr>
          <w:rFonts w:ascii="Arial Narrow" w:eastAsia="Arial Narrow" w:hAnsi="Arial Narrow" w:cs="Arial Narrow"/>
          <w:color w:val="000000"/>
          <w:sz w:val="22"/>
          <w:szCs w:val="22"/>
        </w:rPr>
        <w:t xml:space="preserve">Economic and financial capacity of tenderer (based on i.a. item 3 of the Tender Form for a Supply Contract). In case of tenderer being a public body, equivalent information should be provided. The reference period which will be taken into account will be the last three years for which accounts have been closed. / </w:t>
      </w:r>
      <w:r>
        <w:rPr>
          <w:rFonts w:ascii="Arial Narrow" w:eastAsia="Arial Narrow" w:hAnsi="Arial Narrow" w:cs="Arial Narrow"/>
          <w:b/>
          <w:color w:val="000000"/>
          <w:sz w:val="22"/>
          <w:szCs w:val="22"/>
        </w:rPr>
        <w:t>Ekonomska i financijska sposobnost Ponuđača (na temelju tačke 3. Obrasca ponude za ugovor o nabavi robe). U slučaju da je ponuditelj javno tijelo, treba dostaviti odgovarajuće jednako vrijedne informacije. Period koji će se uzeti u razmatranje je najmanje zadnje tri za koje je izvršen obračun.</w:t>
      </w:r>
    </w:p>
    <w:p w:rsidR="007F3A2A" w:rsidRDefault="00427D0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selection criteria for each tenderer are as follows:  / </w:t>
      </w:r>
      <w:r>
        <w:rPr>
          <w:rFonts w:ascii="Arial Narrow" w:eastAsia="Arial Narrow" w:hAnsi="Arial Narrow" w:cs="Arial Narrow"/>
          <w:b/>
          <w:color w:val="000000"/>
          <w:sz w:val="22"/>
          <w:szCs w:val="22"/>
        </w:rPr>
        <w:t>Kriteriji odabira za Ponuđače su kako slijedi</w:t>
      </w:r>
      <w:r>
        <w:rPr>
          <w:rFonts w:ascii="Arial Narrow" w:eastAsia="Arial Narrow" w:hAnsi="Arial Narrow" w:cs="Arial Narrow"/>
          <w:color w:val="000000"/>
          <w:sz w:val="22"/>
          <w:szCs w:val="22"/>
        </w:rPr>
        <w:t>:</w:t>
      </w:r>
    </w:p>
    <w:p w:rsidR="007F3A2A" w:rsidRDefault="00427D02">
      <w:pPr>
        <w:pBdr>
          <w:top w:val="nil"/>
          <w:left w:val="nil"/>
          <w:bottom w:val="nil"/>
          <w:right w:val="nil"/>
          <w:between w:val="nil"/>
        </w:pBdr>
        <w:tabs>
          <w:tab w:val="left" w:pos="284"/>
        </w:tabs>
        <w:spacing w:line="240" w:lineRule="auto"/>
        <w:ind w:left="0" w:right="1"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Criteria for legal persons:  / </w:t>
      </w:r>
      <w:r>
        <w:rPr>
          <w:rFonts w:ascii="Arial Narrow" w:eastAsia="Arial Narrow" w:hAnsi="Arial Narrow" w:cs="Arial Narrow"/>
          <w:b/>
          <w:color w:val="000000"/>
          <w:sz w:val="22"/>
          <w:szCs w:val="22"/>
        </w:rPr>
        <w:t>Kriteriji za pravno lice</w:t>
      </w:r>
    </w:p>
    <w:p w:rsidR="007F3A2A" w:rsidRPr="00EC0C19" w:rsidRDefault="00427D02">
      <w:pPr>
        <w:pBdr>
          <w:top w:val="nil"/>
          <w:left w:val="nil"/>
          <w:bottom w:val="nil"/>
          <w:right w:val="nil"/>
          <w:between w:val="nil"/>
        </w:pBdr>
        <w:spacing w:line="240" w:lineRule="auto"/>
        <w:ind w:left="0" w:right="4" w:hanging="2"/>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1- the average annual turnover of the tenderer must exceed the annualised maximum budget of the contract; and / </w:t>
      </w:r>
      <w:r>
        <w:rPr>
          <w:rFonts w:ascii="Arial Narrow" w:eastAsia="Arial Narrow" w:hAnsi="Arial Narrow" w:cs="Arial Narrow"/>
          <w:b/>
          <w:color w:val="000000"/>
          <w:sz w:val="22"/>
          <w:szCs w:val="22"/>
        </w:rPr>
        <w:t xml:space="preserve">prosječni godišnji promet Ponuđača mora premašivati </w:t>
      </w:r>
      <w:r w:rsidRPr="00EC0C19">
        <w:rPr>
          <w:rFonts w:ascii="Arial Narrow" w:eastAsia="Arial Narrow" w:hAnsi="Arial Narrow" w:cs="Arial Narrow"/>
          <w:b/>
          <w:sz w:val="22"/>
          <w:szCs w:val="22"/>
        </w:rPr>
        <w:t xml:space="preserve">godišnji maksimalni budžet ugovora; i </w:t>
      </w:r>
    </w:p>
    <w:p w:rsidR="007F3A2A" w:rsidRDefault="00427D02">
      <w:pPr>
        <w:pBdr>
          <w:top w:val="nil"/>
          <w:left w:val="nil"/>
          <w:bottom w:val="nil"/>
          <w:right w:val="nil"/>
          <w:between w:val="nil"/>
        </w:pBdr>
        <w:spacing w:line="240" w:lineRule="auto"/>
        <w:ind w:left="0" w:right="4" w:hanging="2"/>
        <w:jc w:val="both"/>
        <w:rPr>
          <w:rFonts w:ascii="Arial Narrow" w:eastAsia="Arial Narrow" w:hAnsi="Arial Narrow" w:cs="Arial Narrow"/>
          <w:color w:val="000000"/>
          <w:sz w:val="22"/>
          <w:szCs w:val="22"/>
        </w:rPr>
      </w:pPr>
      <w:r w:rsidRPr="00EC0C19">
        <w:rPr>
          <w:rFonts w:ascii="Arial Narrow" w:eastAsia="Arial Narrow" w:hAnsi="Arial Narrow" w:cs="Arial Narrow"/>
          <w:sz w:val="22"/>
          <w:szCs w:val="22"/>
        </w:rPr>
        <w:t xml:space="preserve">2-Current ratio (current assets/current liabilities) in the last year for which accounts have been closed must be at least 1. In case of a consortium, this criterion must be fulfilled by each member. / </w:t>
      </w:r>
      <w:r w:rsidRPr="00EC0C19">
        <w:rPr>
          <w:rFonts w:ascii="Arial Narrow" w:eastAsia="Arial Narrow" w:hAnsi="Arial Narrow" w:cs="Arial Narrow"/>
          <w:b/>
          <w:sz w:val="22"/>
          <w:szCs w:val="22"/>
        </w:rPr>
        <w:t xml:space="preserve">Pokazatelj likvidnosti-tekuća likvidnost (kratkoročna imovina/ kratkoročne obveze) treba iznositi minimalno 1. </w:t>
      </w:r>
      <w:r>
        <w:rPr>
          <w:rFonts w:ascii="Arial Narrow" w:eastAsia="Arial Narrow" w:hAnsi="Arial Narrow" w:cs="Arial Narrow"/>
          <w:b/>
          <w:color w:val="000000"/>
          <w:sz w:val="22"/>
          <w:szCs w:val="22"/>
        </w:rPr>
        <w:t>U slučaju konzorcijuma, ovaj kriterij mora da bude ispunjen od strane svakog člana.</w:t>
      </w:r>
    </w:p>
    <w:p w:rsidR="007F3A2A" w:rsidRDefault="00427D02">
      <w:pPr>
        <w:pBdr>
          <w:top w:val="nil"/>
          <w:left w:val="nil"/>
          <w:bottom w:val="nil"/>
          <w:right w:val="nil"/>
          <w:between w:val="nil"/>
        </w:pBdr>
        <w:spacing w:line="240" w:lineRule="auto"/>
        <w:ind w:left="0" w:right="4"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w:t>
      </w:r>
      <w:r>
        <w:rPr>
          <w:rFonts w:ascii="Arial Narrow" w:eastAsia="Arial Narrow" w:hAnsi="Arial Narrow" w:cs="Arial Narrow"/>
          <w:color w:val="000000"/>
          <w:sz w:val="22"/>
          <w:szCs w:val="22"/>
        </w:rPr>
        <w:tab/>
        <w:t xml:space="preserve">Professional capacity of tenderer (based on i.a. items 4 and 5 of the Tender Form for a Supply Contract). The reference period which will be taken into account will be the last 3 years from submission deadline. / </w:t>
      </w:r>
      <w:r>
        <w:rPr>
          <w:rFonts w:ascii="Arial Narrow" w:eastAsia="Arial Narrow" w:hAnsi="Arial Narrow" w:cs="Arial Narrow"/>
          <w:b/>
          <w:color w:val="000000"/>
          <w:sz w:val="22"/>
          <w:szCs w:val="22"/>
        </w:rPr>
        <w:t>Po</w:t>
      </w:r>
      <w:r w:rsidR="00125211">
        <w:rPr>
          <w:rFonts w:ascii="Arial Narrow" w:eastAsia="Arial Narrow" w:hAnsi="Arial Narrow" w:cs="Arial Narrow"/>
          <w:b/>
          <w:color w:val="000000"/>
          <w:sz w:val="22"/>
          <w:szCs w:val="22"/>
        </w:rPr>
        <w:t>slovna sposobnost Ponuđača (na osnovu</w:t>
      </w:r>
      <w:r>
        <w:rPr>
          <w:rFonts w:ascii="Arial Narrow" w:eastAsia="Arial Narrow" w:hAnsi="Arial Narrow" w:cs="Arial Narrow"/>
          <w:b/>
          <w:color w:val="000000"/>
          <w:sz w:val="22"/>
          <w:szCs w:val="22"/>
        </w:rPr>
        <w:t xml:space="preserve"> tačaka 4. i 5. Obrasca ponude za ugovor o nabavi robe) Period koji će se uzeti u razmatranje je najmane zadnje 3 godina od roka za dostavljanje ponuda.</w:t>
      </w:r>
    </w:p>
    <w:p w:rsidR="007F3A2A" w:rsidRDefault="00427D02">
      <w:pPr>
        <w:pBdr>
          <w:top w:val="nil"/>
          <w:left w:val="nil"/>
          <w:bottom w:val="nil"/>
          <w:right w:val="nil"/>
          <w:between w:val="nil"/>
        </w:pBdr>
        <w:spacing w:line="240" w:lineRule="auto"/>
        <w:ind w:left="0" w:right="4"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Criteria for legal persons: / </w:t>
      </w:r>
      <w:r>
        <w:rPr>
          <w:rFonts w:ascii="Arial Narrow" w:eastAsia="Arial Narrow" w:hAnsi="Arial Narrow" w:cs="Arial Narrow"/>
          <w:b/>
          <w:color w:val="000000"/>
          <w:sz w:val="22"/>
          <w:szCs w:val="22"/>
        </w:rPr>
        <w:t>Kriteriji za pravno lice</w:t>
      </w:r>
    </w:p>
    <w:p w:rsidR="007F3A2A" w:rsidRPr="00EC0C19" w:rsidRDefault="00427D02">
      <w:pPr>
        <w:pBdr>
          <w:top w:val="nil"/>
          <w:left w:val="nil"/>
          <w:bottom w:val="nil"/>
          <w:right w:val="nil"/>
          <w:between w:val="nil"/>
        </w:pBdr>
        <w:spacing w:line="240" w:lineRule="auto"/>
        <w:ind w:left="0" w:right="4" w:hanging="2"/>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1- at least </w:t>
      </w:r>
      <w:r>
        <w:rPr>
          <w:rFonts w:ascii="Arial Narrow" w:eastAsia="Arial Narrow" w:hAnsi="Arial Narrow" w:cs="Arial Narrow"/>
          <w:sz w:val="22"/>
          <w:szCs w:val="22"/>
        </w:rPr>
        <w:t xml:space="preserve">four </w:t>
      </w:r>
      <w:r>
        <w:rPr>
          <w:rFonts w:ascii="Arial Narrow" w:eastAsia="Arial Narrow" w:hAnsi="Arial Narrow" w:cs="Arial Narrow"/>
          <w:color w:val="000000"/>
          <w:sz w:val="22"/>
          <w:szCs w:val="22"/>
        </w:rPr>
        <w:t xml:space="preserve">staff currently work for the tenderer in fields related to this contract; and / </w:t>
      </w:r>
      <w:r w:rsidRPr="00EC0C19">
        <w:rPr>
          <w:rFonts w:ascii="Arial Narrow" w:eastAsia="Arial Narrow" w:hAnsi="Arial Narrow" w:cs="Arial Narrow"/>
          <w:b/>
          <w:sz w:val="22"/>
          <w:szCs w:val="22"/>
        </w:rPr>
        <w:t xml:space="preserve">najmanje četiri uposlena </w:t>
      </w:r>
      <w:r w:rsidR="00125211" w:rsidRPr="00EC0C19">
        <w:rPr>
          <w:rFonts w:ascii="Arial Narrow" w:eastAsia="Arial Narrow" w:hAnsi="Arial Narrow" w:cs="Arial Narrow"/>
          <w:b/>
          <w:sz w:val="22"/>
          <w:szCs w:val="22"/>
        </w:rPr>
        <w:t>koji</w:t>
      </w:r>
      <w:r w:rsidRPr="00EC0C19">
        <w:rPr>
          <w:rFonts w:ascii="Arial Narrow" w:eastAsia="Arial Narrow" w:hAnsi="Arial Narrow" w:cs="Arial Narrow"/>
          <w:b/>
          <w:sz w:val="22"/>
          <w:szCs w:val="22"/>
        </w:rPr>
        <w:t xml:space="preserve"> rade za Ponuđača na poslovima vezanim za ovaj ugovor.</w:t>
      </w:r>
    </w:p>
    <w:p w:rsidR="007F3A2A" w:rsidRPr="00EC0C19" w:rsidRDefault="00427D02">
      <w:pPr>
        <w:pBdr>
          <w:top w:val="nil"/>
          <w:left w:val="nil"/>
          <w:bottom w:val="nil"/>
          <w:right w:val="nil"/>
          <w:between w:val="nil"/>
        </w:pBdr>
        <w:spacing w:line="240" w:lineRule="auto"/>
        <w:ind w:left="0" w:right="4" w:hanging="2"/>
        <w:jc w:val="both"/>
        <w:rPr>
          <w:rFonts w:ascii="Arial Narrow" w:eastAsia="Arial Narrow" w:hAnsi="Arial Narrow" w:cs="Arial Narrow"/>
          <w:sz w:val="22"/>
          <w:szCs w:val="22"/>
        </w:rPr>
      </w:pPr>
      <w:r w:rsidRPr="00EC0C19">
        <w:rPr>
          <w:rFonts w:ascii="Arial Narrow" w:eastAsia="Arial Narrow" w:hAnsi="Arial Narrow" w:cs="Arial Narrow"/>
          <w:sz w:val="22"/>
          <w:szCs w:val="22"/>
        </w:rPr>
        <w:t>3)</w:t>
      </w:r>
      <w:r w:rsidRPr="00EC0C19">
        <w:rPr>
          <w:rFonts w:ascii="Arial Narrow" w:eastAsia="Arial Narrow" w:hAnsi="Arial Narrow" w:cs="Arial Narrow"/>
          <w:sz w:val="22"/>
          <w:szCs w:val="22"/>
        </w:rPr>
        <w:tab/>
        <w:t xml:space="preserve">Technical capacity of tenderer (based on i.a. items 5 and 6 of the Tender Form for a Supply Contract). The reference period which will be taken into account will be the last 3 years from submission deadline. / </w:t>
      </w:r>
      <w:r w:rsidRPr="00EC0C19">
        <w:rPr>
          <w:rFonts w:ascii="Arial Narrow" w:eastAsia="Arial Narrow" w:hAnsi="Arial Narrow" w:cs="Arial Narrow"/>
          <w:b/>
          <w:sz w:val="22"/>
          <w:szCs w:val="22"/>
        </w:rPr>
        <w:t>Tehnička sposobnost Ponuđača (na temelju t</w:t>
      </w:r>
      <w:r w:rsidR="00EC0C19">
        <w:rPr>
          <w:rFonts w:ascii="Arial Narrow" w:eastAsia="Arial Narrow" w:hAnsi="Arial Narrow" w:cs="Arial Narrow"/>
          <w:b/>
          <w:sz w:val="22"/>
          <w:szCs w:val="22"/>
        </w:rPr>
        <w:t>a</w:t>
      </w:r>
      <w:r w:rsidRPr="00EC0C19">
        <w:rPr>
          <w:rFonts w:ascii="Arial Narrow" w:eastAsia="Arial Narrow" w:hAnsi="Arial Narrow" w:cs="Arial Narrow"/>
          <w:b/>
          <w:sz w:val="22"/>
          <w:szCs w:val="22"/>
        </w:rPr>
        <w:t>čke 5. i 6. Obrasca ponude za ugovor o nabavci robe). Period koji će biti uzet u razmatranje će biti minimalno 3 godine od roka za dostavljanje ponuda.</w:t>
      </w:r>
    </w:p>
    <w:p w:rsidR="007F3A2A" w:rsidRDefault="00427D02">
      <w:pPr>
        <w:pBdr>
          <w:top w:val="nil"/>
          <w:left w:val="nil"/>
          <w:bottom w:val="nil"/>
          <w:right w:val="nil"/>
          <w:between w:val="nil"/>
        </w:pBdr>
        <w:spacing w:line="240" w:lineRule="auto"/>
        <w:ind w:left="0" w:right="4"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 xml:space="preserve">This means that the contract the tenderer refers to could have been started or completed at any time during the indicated period but it does not necessarily have to be started and completed during that period, nor implemented during the entire period. 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final acceptance). In case of projects still on-going only the portion satisfactorily completed during the reference period will be taken into consideration. This portion will have to be supported by documentary evidence (similarly to projects completed) also detailing its value. / </w:t>
      </w:r>
      <w:r>
        <w:rPr>
          <w:rFonts w:ascii="Arial Narrow" w:eastAsia="Arial Narrow" w:hAnsi="Arial Narrow" w:cs="Arial Narrow"/>
          <w:b/>
          <w:color w:val="000000"/>
          <w:sz w:val="22"/>
          <w:szCs w:val="22"/>
        </w:rPr>
        <w:t>To znači da bi ugovor na koji se Ponuđač poziva mogao započeti ili završiti u bilo koje vrijeme tokom naznačenog perioda, ali to ne mora biti pokrenuto i završeno u tom periodu niti sprovedeno tokom cijelog perioda. Ponuđači se mogu pozvati  bilo na projekte završene u referentnom periodu (iako su počeli ranije) ili na projekte koji još nisu završeni. U prvom slučaju projekat će se razmatrati u cjelini ako se obezbjedi odgovarajući dokaz o učinku (izjava ili potvrda od strane subjekta koji je dodjelio ugovor, konačni prihvat). U slučaju projekata koji su još u toku, bit će uzeti u obzir samo dio koji je zadovoljavajuće završen tokom referentnog perioda. Ovaj dio će morati da bude podržan dokumentiranim  dokazima (slično projektima koji su završeni), koji također preciziraju njegovu vrijednost.</w:t>
      </w:r>
    </w:p>
    <w:p w:rsidR="007F3A2A" w:rsidRDefault="00427D02">
      <w:pPr>
        <w:pBdr>
          <w:top w:val="nil"/>
          <w:left w:val="nil"/>
          <w:bottom w:val="nil"/>
          <w:right w:val="nil"/>
          <w:between w:val="nil"/>
        </w:pBdr>
        <w:tabs>
          <w:tab w:val="left" w:pos="284"/>
        </w:tabs>
        <w:spacing w:line="240" w:lineRule="auto"/>
        <w:ind w:left="0" w:right="1"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Criteria for legal persons:  /  </w:t>
      </w:r>
      <w:r>
        <w:rPr>
          <w:rFonts w:ascii="Arial Narrow" w:eastAsia="Arial Narrow" w:hAnsi="Arial Narrow" w:cs="Arial Narrow"/>
          <w:b/>
          <w:color w:val="000000"/>
          <w:sz w:val="22"/>
          <w:szCs w:val="22"/>
        </w:rPr>
        <w:t>Kriteriji za pravno lice</w:t>
      </w:r>
    </w:p>
    <w:p w:rsidR="007F3A2A" w:rsidRDefault="00427D02">
      <w:pPr>
        <w:pBdr>
          <w:top w:val="nil"/>
          <w:left w:val="nil"/>
          <w:bottom w:val="nil"/>
          <w:right w:val="nil"/>
          <w:between w:val="nil"/>
        </w:pBdr>
        <w:spacing w:line="240" w:lineRule="auto"/>
        <w:ind w:left="0" w:right="4"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 xml:space="preserve">1- the tenderer has delivered supplies under at least 2 contracts with a budget of at </w:t>
      </w:r>
      <w:r w:rsidRPr="00EC0C19">
        <w:rPr>
          <w:rFonts w:ascii="Arial Narrow" w:eastAsia="Arial Narrow" w:hAnsi="Arial Narrow" w:cs="Arial Narrow"/>
          <w:sz w:val="22"/>
          <w:szCs w:val="22"/>
        </w:rPr>
        <w:t xml:space="preserve">least  </w:t>
      </w:r>
      <w:r w:rsidR="00241C78" w:rsidRPr="00EC0C19">
        <w:rPr>
          <w:rFonts w:ascii="Arial Narrow" w:eastAsia="Arial Narrow" w:hAnsi="Arial Narrow" w:cs="Arial Narrow"/>
          <w:sz w:val="22"/>
          <w:szCs w:val="22"/>
        </w:rPr>
        <w:t>95</w:t>
      </w:r>
      <w:r w:rsidR="00E81E9B" w:rsidRPr="00EC0C19">
        <w:rPr>
          <w:rFonts w:ascii="Arial Narrow" w:eastAsia="Arial Narrow" w:hAnsi="Arial Narrow" w:cs="Arial Narrow"/>
          <w:sz w:val="22"/>
          <w:szCs w:val="22"/>
        </w:rPr>
        <w:t xml:space="preserve">.000 </w:t>
      </w:r>
      <w:r w:rsidRPr="00EC0C19">
        <w:rPr>
          <w:rFonts w:ascii="Arial Narrow" w:eastAsia="Arial Narrow" w:hAnsi="Arial Narrow" w:cs="Arial Narrow"/>
          <w:sz w:val="22"/>
          <w:szCs w:val="22"/>
        </w:rPr>
        <w:t>EUR in delivery of which were implemented during the following period: 3 year</w:t>
      </w:r>
      <w:r w:rsidR="001B2585" w:rsidRPr="00EC0C19">
        <w:rPr>
          <w:rFonts w:ascii="Arial Narrow" w:eastAsia="Arial Narrow" w:hAnsi="Arial Narrow" w:cs="Arial Narrow"/>
          <w:sz w:val="22"/>
          <w:szCs w:val="22"/>
        </w:rPr>
        <w:t xml:space="preserve">s from the submission  deadline </w:t>
      </w:r>
      <w:r w:rsidR="00E81E9B" w:rsidRPr="00EC0C19">
        <w:rPr>
          <w:rFonts w:ascii="Arial Narrow" w:eastAsia="Arial Narrow" w:hAnsi="Arial Narrow" w:cs="Arial Narrow"/>
          <w:sz w:val="22"/>
          <w:szCs w:val="22"/>
        </w:rPr>
        <w:t>27/09/2021</w:t>
      </w:r>
      <w:r w:rsidRPr="00EC0C19">
        <w:rPr>
          <w:rFonts w:ascii="Arial Narrow" w:eastAsia="Arial Narrow" w:hAnsi="Arial Narrow" w:cs="Arial Narrow"/>
          <w:sz w:val="22"/>
          <w:szCs w:val="22"/>
        </w:rPr>
        <w:t xml:space="preserve">/ </w:t>
      </w:r>
      <w:r w:rsidRPr="00EC0C19">
        <w:rPr>
          <w:rFonts w:ascii="Arial Narrow" w:eastAsia="Arial Narrow" w:hAnsi="Arial Narrow" w:cs="Arial Narrow"/>
          <w:b/>
          <w:sz w:val="22"/>
          <w:szCs w:val="22"/>
        </w:rPr>
        <w:t>Ponuđa</w:t>
      </w:r>
      <w:r w:rsidR="00E81E9B" w:rsidRPr="00EC0C19">
        <w:rPr>
          <w:rFonts w:ascii="Arial Narrow" w:eastAsia="Arial Narrow" w:hAnsi="Arial Narrow" w:cs="Arial Narrow"/>
          <w:b/>
          <w:sz w:val="22"/>
          <w:szCs w:val="22"/>
        </w:rPr>
        <w:t>č</w:t>
      </w:r>
      <w:r w:rsidRPr="00EC0C19">
        <w:rPr>
          <w:rFonts w:ascii="Arial Narrow" w:eastAsia="Arial Narrow" w:hAnsi="Arial Narrow" w:cs="Arial Narrow"/>
          <w:b/>
          <w:sz w:val="22"/>
          <w:szCs w:val="22"/>
        </w:rPr>
        <w:t xml:space="preserve"> je isporučio robe za najmanje 2 ugovora sa budžetom od najmanje </w:t>
      </w:r>
      <w:r w:rsidR="00241C78" w:rsidRPr="00EC0C19">
        <w:rPr>
          <w:rFonts w:ascii="Arial Narrow" w:eastAsia="Arial Narrow" w:hAnsi="Arial Narrow" w:cs="Arial Narrow"/>
          <w:b/>
          <w:sz w:val="22"/>
          <w:szCs w:val="22"/>
        </w:rPr>
        <w:t>95</w:t>
      </w:r>
      <w:r w:rsidR="00E81E9B" w:rsidRPr="00EC0C19">
        <w:rPr>
          <w:rFonts w:ascii="Arial Narrow" w:eastAsia="Arial Narrow" w:hAnsi="Arial Narrow" w:cs="Arial Narrow"/>
          <w:b/>
          <w:sz w:val="22"/>
          <w:szCs w:val="22"/>
        </w:rPr>
        <w:t>.000</w:t>
      </w:r>
      <w:r w:rsidRPr="00EC0C19">
        <w:rPr>
          <w:rFonts w:ascii="Arial Narrow" w:eastAsia="Arial Narrow" w:hAnsi="Arial Narrow" w:cs="Arial Narrow"/>
          <w:b/>
          <w:sz w:val="22"/>
          <w:szCs w:val="22"/>
        </w:rPr>
        <w:t xml:space="preserve"> EUR u području </w:t>
      </w:r>
      <w:r>
        <w:rPr>
          <w:rFonts w:ascii="Arial Narrow" w:eastAsia="Arial Narrow" w:hAnsi="Arial Narrow" w:cs="Arial Narrow"/>
          <w:b/>
          <w:color w:val="000000"/>
          <w:sz w:val="22"/>
          <w:szCs w:val="22"/>
        </w:rPr>
        <w:t>isporuke koji su realizovani u period</w:t>
      </w:r>
      <w:r w:rsidR="00E81E9B">
        <w:rPr>
          <w:rFonts w:ascii="Arial Narrow" w:eastAsia="Arial Narrow" w:hAnsi="Arial Narrow" w:cs="Arial Narrow"/>
          <w:b/>
          <w:color w:val="000000"/>
          <w:sz w:val="22"/>
          <w:szCs w:val="22"/>
        </w:rPr>
        <w:t>u</w:t>
      </w:r>
      <w:r>
        <w:rPr>
          <w:rFonts w:ascii="Arial Narrow" w:eastAsia="Arial Narrow" w:hAnsi="Arial Narrow" w:cs="Arial Narrow"/>
          <w:b/>
          <w:color w:val="000000"/>
          <w:sz w:val="22"/>
          <w:szCs w:val="22"/>
        </w:rPr>
        <w:t xml:space="preserve"> od 3 godine od roka za dostavu ponuda, </w:t>
      </w:r>
      <w:r w:rsidR="00E81E9B">
        <w:rPr>
          <w:rFonts w:ascii="Arial Narrow" w:eastAsia="Arial Narrow" w:hAnsi="Arial Narrow" w:cs="Arial Narrow"/>
          <w:b/>
          <w:color w:val="000000"/>
          <w:sz w:val="22"/>
          <w:szCs w:val="22"/>
        </w:rPr>
        <w:t>27/09/2021.</w:t>
      </w:r>
    </w:p>
    <w:p w:rsidR="007F3A2A" w:rsidRDefault="00427D02">
      <w:pPr>
        <w:keepLines/>
        <w:pBdr>
          <w:top w:val="nil"/>
          <w:left w:val="nil"/>
          <w:bottom w:val="nil"/>
          <w:right w:val="nil"/>
          <w:between w:val="nil"/>
        </w:pBdr>
        <w:spacing w:line="240" w:lineRule="auto"/>
        <w:ind w:left="0" w:right="1"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Capacity-providing entities / </w:t>
      </w:r>
      <w:r>
        <w:rPr>
          <w:rFonts w:ascii="Arial Narrow" w:eastAsia="Arial Narrow" w:hAnsi="Arial Narrow" w:cs="Arial Narrow"/>
          <w:b/>
          <w:color w:val="000000"/>
          <w:sz w:val="22"/>
          <w:szCs w:val="22"/>
        </w:rPr>
        <w:t>Subjekti koji pružaju kapacitete</w:t>
      </w:r>
    </w:p>
    <w:p w:rsidR="007F3A2A" w:rsidRDefault="00427D02">
      <w:pPr>
        <w:pBdr>
          <w:top w:val="nil"/>
          <w:left w:val="nil"/>
          <w:bottom w:val="nil"/>
          <w:right w:val="nil"/>
          <w:between w:val="nil"/>
        </w:pBdr>
        <w:spacing w:line="240" w:lineRule="auto"/>
        <w:ind w:left="0" w:right="4"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An economic operator may, where appropriate and for a particular contract, rely on the capacities of other entities, regardless of the legal nature of the links which it has with them. If the tender rely on other entities it must prove to the Contracting Authority that it will have at its disposal the resources necessary for performance of the contract, by producing a commitment on the part of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data for this third entity for the relevant selection criterion should be included in the tender in a separate document. Proof of the capacity will also have to be provided when requested by</w:t>
      </w:r>
      <w:r w:rsidR="003F1B56">
        <w:rPr>
          <w:rFonts w:ascii="Arial Narrow" w:eastAsia="Arial Narrow" w:hAnsi="Arial Narrow" w:cs="Arial Narrow"/>
          <w:color w:val="000000"/>
          <w:sz w:val="22"/>
          <w:szCs w:val="22"/>
        </w:rPr>
        <w:t xml:space="preserve"> the Contracting Authority.  / </w:t>
      </w:r>
      <w:r>
        <w:rPr>
          <w:rFonts w:ascii="Arial Narrow" w:eastAsia="Arial Narrow" w:hAnsi="Arial Narrow" w:cs="Arial Narrow"/>
          <w:b/>
          <w:color w:val="000000"/>
          <w:sz w:val="22"/>
          <w:szCs w:val="22"/>
        </w:rPr>
        <w:t>Privredni subjekt može, gdje je to primjereno i za određeni ugovor, računati na resurse drugih subjekata, neovisno o pravnoj prirodi njihove povezanosti. Ako se ponuda oslanja na druge subjekte, Ponuđač u tom slučaju mora dokazati Ugov</w:t>
      </w:r>
      <w:r w:rsidR="003F1B56">
        <w:rPr>
          <w:rFonts w:ascii="Arial Narrow" w:eastAsia="Arial Narrow" w:hAnsi="Arial Narrow" w:cs="Arial Narrow"/>
          <w:b/>
          <w:color w:val="000000"/>
          <w:sz w:val="22"/>
          <w:szCs w:val="22"/>
        </w:rPr>
        <w:t>ornog</w:t>
      </w:r>
      <w:r>
        <w:rPr>
          <w:rFonts w:ascii="Arial Narrow" w:eastAsia="Arial Narrow" w:hAnsi="Arial Narrow" w:cs="Arial Narrow"/>
          <w:b/>
          <w:color w:val="000000"/>
          <w:sz w:val="22"/>
          <w:szCs w:val="22"/>
        </w:rPr>
        <w:t xml:space="preserve"> tijelu da će imati na raspolaganju resurse potrebne za provedbu ugovora, na primjer prilažući izjavu tih subjekata da će te resurse staviti na raspolaganje. Takvi subjekti, na primjer matična firma privrednog subjekta, moraju poštovati ista pravila prihvatljivosti te osobito pravila o državljanstvu kao i privredni subjekt koji se oslanja na njih, kao što moraju ispuniti i kriterije odabira zbog kojih se privredni subjekt oslanja na njih. Nadalje, podaci o tom trećem subjektu za relevantne kriterije odabira moraju biti uključeni u ponudu u posebnom dokumentu. Dokaz o sposobnostima također treba dostaviti na zahtjev Ugov</w:t>
      </w:r>
      <w:r w:rsidR="003F1B56">
        <w:rPr>
          <w:rFonts w:ascii="Arial Narrow" w:eastAsia="Arial Narrow" w:hAnsi="Arial Narrow" w:cs="Arial Narrow"/>
          <w:b/>
          <w:color w:val="000000"/>
          <w:sz w:val="22"/>
          <w:szCs w:val="22"/>
        </w:rPr>
        <w:t>ornog</w:t>
      </w:r>
      <w:r>
        <w:rPr>
          <w:rFonts w:ascii="Arial Narrow" w:eastAsia="Arial Narrow" w:hAnsi="Arial Narrow" w:cs="Arial Narrow"/>
          <w:b/>
          <w:color w:val="000000"/>
          <w:sz w:val="22"/>
          <w:szCs w:val="22"/>
        </w:rPr>
        <w:t xml:space="preserve"> tijela.</w:t>
      </w:r>
    </w:p>
    <w:p w:rsidR="007F3A2A" w:rsidRDefault="00427D02">
      <w:pPr>
        <w:pBdr>
          <w:top w:val="nil"/>
          <w:left w:val="nil"/>
          <w:bottom w:val="nil"/>
          <w:right w:val="nil"/>
          <w:between w:val="nil"/>
        </w:pBdr>
        <w:spacing w:line="240" w:lineRule="auto"/>
        <w:ind w:left="0" w:right="4"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With regard to technical and professional criteria, a tenderer may only rely on the capacities of other entities where the latter will perform the tasks for which th</w:t>
      </w:r>
      <w:r w:rsidR="003F1B56">
        <w:rPr>
          <w:rFonts w:ascii="Arial Narrow" w:eastAsia="Arial Narrow" w:hAnsi="Arial Narrow" w:cs="Arial Narrow"/>
          <w:color w:val="000000"/>
          <w:sz w:val="22"/>
          <w:szCs w:val="22"/>
        </w:rPr>
        <w:t xml:space="preserve">ese capacities are required. / </w:t>
      </w:r>
      <w:r>
        <w:rPr>
          <w:rFonts w:ascii="Arial Narrow" w:eastAsia="Arial Narrow" w:hAnsi="Arial Narrow" w:cs="Arial Narrow"/>
          <w:b/>
          <w:color w:val="000000"/>
          <w:sz w:val="22"/>
          <w:szCs w:val="22"/>
        </w:rPr>
        <w:t>Što se tiče tehničkih i profesionalnih kriterija, Ponuđač se može osloniti samo na resurse drugih subjekata u kojima će kasnije izvršavati zadatke za koje su ti resursi potrebni.</w:t>
      </w:r>
    </w:p>
    <w:p w:rsidR="007F3A2A" w:rsidRDefault="00427D02">
      <w:pPr>
        <w:pBdr>
          <w:top w:val="nil"/>
          <w:left w:val="nil"/>
          <w:bottom w:val="nil"/>
          <w:right w:val="nil"/>
          <w:between w:val="nil"/>
        </w:pBdr>
        <w:spacing w:line="240" w:lineRule="auto"/>
        <w:ind w:left="0" w:right="4"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With regard to economic and financial criteria, the entities upon whose capacity the tenderer relies, become jointly and severally liable for the performance of the contract.  / </w:t>
      </w:r>
      <w:r>
        <w:rPr>
          <w:rFonts w:ascii="Arial Narrow" w:eastAsia="Arial Narrow" w:hAnsi="Arial Narrow" w:cs="Arial Narrow"/>
          <w:b/>
          <w:color w:val="000000"/>
          <w:sz w:val="22"/>
          <w:szCs w:val="22"/>
        </w:rPr>
        <w:t>Vezano za ekonomske i financijske kriterije, subjekti na čijim se kapacitetima zasniva ponuda postaju zajednički i pojedinačno odgovorni za izvršenje ugovora.</w:t>
      </w:r>
    </w:p>
    <w:p w:rsidR="007F3A2A" w:rsidRDefault="00427D02">
      <w:pPr>
        <w:numPr>
          <w:ilvl w:val="0"/>
          <w:numId w:val="2"/>
        </w:numPr>
        <w:ind w:left="0" w:right="1" w:hanging="2"/>
        <w:rPr>
          <w:rFonts w:ascii="Arial Narrow" w:eastAsia="Arial Narrow" w:hAnsi="Arial Narrow" w:cs="Arial Narrow"/>
          <w:b/>
          <w:sz w:val="22"/>
          <w:szCs w:val="22"/>
        </w:rPr>
      </w:pPr>
      <w:r>
        <w:rPr>
          <w:rFonts w:ascii="Arial Narrow" w:eastAsia="Arial Narrow" w:hAnsi="Arial Narrow" w:cs="Arial Narrow"/>
          <w:sz w:val="22"/>
          <w:szCs w:val="22"/>
        </w:rPr>
        <w:t>Award criteria</w:t>
      </w:r>
      <w:r>
        <w:rPr>
          <w:rFonts w:ascii="Arial Narrow" w:eastAsia="Arial Narrow" w:hAnsi="Arial Narrow" w:cs="Arial Narrow"/>
          <w:b/>
          <w:sz w:val="22"/>
          <w:szCs w:val="22"/>
        </w:rPr>
        <w:t xml:space="preserve">  / Kriteriji dodjele ugovora</w:t>
      </w:r>
    </w:p>
    <w:p w:rsidR="007F3A2A" w:rsidRDefault="00427D02">
      <w:pPr>
        <w:pBdr>
          <w:top w:val="nil"/>
          <w:left w:val="nil"/>
          <w:bottom w:val="nil"/>
          <w:right w:val="nil"/>
          <w:between w:val="nil"/>
        </w:pBdr>
        <w:spacing w:line="240" w:lineRule="auto"/>
        <w:ind w:left="0" w:right="1"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Price / </w:t>
      </w:r>
      <w:r>
        <w:rPr>
          <w:rFonts w:ascii="Arial Narrow" w:eastAsia="Arial Narrow" w:hAnsi="Arial Narrow" w:cs="Arial Narrow"/>
          <w:b/>
          <w:color w:val="000000"/>
          <w:sz w:val="22"/>
          <w:szCs w:val="22"/>
        </w:rPr>
        <w:t xml:space="preserve">Cijena </w:t>
      </w:r>
    </w:p>
    <w:p w:rsidR="007F3A2A" w:rsidRDefault="00427D02">
      <w:pPr>
        <w:spacing w:before="300"/>
        <w:ind w:left="0" w:right="1" w:hanging="2"/>
        <w:jc w:val="center"/>
        <w:rPr>
          <w:rFonts w:ascii="Arial Narrow" w:eastAsia="Arial Narrow" w:hAnsi="Arial Narrow" w:cs="Arial Narrow"/>
          <w:b/>
          <w:sz w:val="22"/>
          <w:szCs w:val="22"/>
        </w:rPr>
      </w:pPr>
      <w:r>
        <w:rPr>
          <w:rFonts w:ascii="Arial Narrow" w:eastAsia="Arial Narrow" w:hAnsi="Arial Narrow" w:cs="Arial Narrow"/>
          <w:b/>
          <w:sz w:val="22"/>
          <w:szCs w:val="22"/>
        </w:rPr>
        <w:t>TENDERING / TENDERSKA PROCEDURA</w:t>
      </w: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139700</wp:posOffset>
                </wp:positionV>
                <wp:extent cx="5943600" cy="22225"/>
                <wp:effectExtent l="0" t="0" r="0" b="0"/>
                <wp:wrapNone/>
                <wp:docPr id="1" name="Ravni poveznik sa strelicom 1"/>
                <wp:cNvGraphicFramePr/>
                <a:graphic xmlns:a="http://schemas.openxmlformats.org/drawingml/2006/main">
                  <a:graphicData uri="http://schemas.microsoft.com/office/word/2010/wordprocessingShape">
                    <wps:wsp>
                      <wps:cNvCnPr/>
                      <wps:spPr>
                        <a:xfrm>
                          <a:off x="2374200" y="3779683"/>
                          <a:ext cx="5943600" cy="635"/>
                        </a:xfrm>
                        <a:prstGeom prst="straightConnector1">
                          <a:avLst/>
                        </a:prstGeom>
                        <a:solidFill>
                          <a:srgbClr val="FFFFFF"/>
                        </a:solidFill>
                        <a:ln w="22225" cap="flat" cmpd="sng">
                          <a:solidFill>
                            <a:srgbClr val="D4D4D4"/>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943600" cy="22225"/>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943600" cy="22225"/>
                        </a:xfrm>
                        <a:prstGeom prst="rect"/>
                        <a:ln/>
                      </pic:spPr>
                    </pic:pic>
                  </a:graphicData>
                </a:graphic>
              </wp:anchor>
            </w:drawing>
          </mc:Fallback>
        </mc:AlternateContent>
      </w:r>
    </w:p>
    <w:p w:rsidR="007F3A2A" w:rsidRDefault="00427D02">
      <w:pPr>
        <w:numPr>
          <w:ilvl w:val="0"/>
          <w:numId w:val="2"/>
        </w:numPr>
        <w:ind w:left="0" w:right="1" w:hanging="2"/>
        <w:rPr>
          <w:rFonts w:ascii="Arial Narrow" w:eastAsia="Arial Narrow" w:hAnsi="Arial Narrow" w:cs="Arial Narrow"/>
          <w:b/>
          <w:sz w:val="22"/>
          <w:szCs w:val="22"/>
        </w:rPr>
      </w:pPr>
      <w:r>
        <w:rPr>
          <w:rFonts w:ascii="Arial Narrow" w:eastAsia="Arial Narrow" w:hAnsi="Arial Narrow" w:cs="Arial Narrow"/>
          <w:sz w:val="22"/>
          <w:szCs w:val="22"/>
        </w:rPr>
        <w:t>How to obtain the tender dossier</w:t>
      </w:r>
      <w:r>
        <w:rPr>
          <w:rFonts w:ascii="Arial Narrow" w:eastAsia="Arial Narrow" w:hAnsi="Arial Narrow" w:cs="Arial Narrow"/>
          <w:b/>
          <w:sz w:val="22"/>
          <w:szCs w:val="22"/>
        </w:rPr>
        <w:t xml:space="preserve">  / Kako preuzeti tendersku dokumentaciju</w:t>
      </w:r>
    </w:p>
    <w:p w:rsidR="007F3A2A" w:rsidRDefault="00427D02">
      <w:pPr>
        <w:pBdr>
          <w:top w:val="nil"/>
          <w:left w:val="nil"/>
          <w:bottom w:val="nil"/>
          <w:right w:val="nil"/>
          <w:between w:val="nil"/>
        </w:pBdr>
        <w:spacing w:after="0" w:line="240" w:lineRule="auto"/>
        <w:ind w:left="0" w:right="6"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tender dossier is available from the following Internet address: www.</w:t>
      </w:r>
      <w:r w:rsidR="00E81E9B">
        <w:rPr>
          <w:rFonts w:ascii="Arial Narrow" w:eastAsia="Arial Narrow" w:hAnsi="Arial Narrow" w:cs="Arial Narrow"/>
          <w:color w:val="000000"/>
          <w:sz w:val="22"/>
          <w:szCs w:val="22"/>
        </w:rPr>
        <w:t>zzjzfbih.ba</w:t>
      </w:r>
      <w:r>
        <w:rPr>
          <w:rFonts w:ascii="Arial Narrow" w:eastAsia="Arial Narrow" w:hAnsi="Arial Narrow" w:cs="Arial Narrow"/>
          <w:color w:val="000000"/>
          <w:sz w:val="22"/>
          <w:szCs w:val="22"/>
        </w:rPr>
        <w:t xml:space="preserve">.The tender dossier is available from the Contracting Authority. Tenders must be submitted using the standard Tender Form for a Supply included in the tender dossier, whose format and instructions must be strictly observed. / </w:t>
      </w:r>
      <w:r>
        <w:rPr>
          <w:rFonts w:ascii="Arial Narrow" w:eastAsia="Arial Narrow" w:hAnsi="Arial Narrow" w:cs="Arial Narrow"/>
          <w:b/>
          <w:color w:val="000000"/>
          <w:sz w:val="22"/>
          <w:szCs w:val="22"/>
        </w:rPr>
        <w:t xml:space="preserve">Tenderska dokumentacija dostupna je na web stranici: </w:t>
      </w:r>
      <w:hyperlink r:id="rId13" w:history="1">
        <w:r w:rsidR="00E81E9B" w:rsidRPr="006C6940">
          <w:rPr>
            <w:rStyle w:val="Hyperlink"/>
            <w:rFonts w:ascii="Arial Narrow" w:eastAsia="Arial Narrow" w:hAnsi="Arial Narrow" w:cs="Arial Narrow"/>
            <w:b/>
            <w:sz w:val="22"/>
            <w:szCs w:val="22"/>
          </w:rPr>
          <w:t>www.zzjzfbih.ba</w:t>
        </w:r>
      </w:hyperlink>
      <w:r w:rsidR="00E81E9B">
        <w:rPr>
          <w:rFonts w:ascii="Arial Narrow" w:eastAsia="Arial Narrow" w:hAnsi="Arial Narrow" w:cs="Arial Narrow"/>
          <w:b/>
          <w:color w:val="000000"/>
          <w:sz w:val="22"/>
          <w:szCs w:val="22"/>
        </w:rPr>
        <w:t xml:space="preserve">. </w:t>
      </w:r>
      <w:r>
        <w:rPr>
          <w:rFonts w:ascii="Arial Narrow" w:eastAsia="Arial Narrow" w:hAnsi="Arial Narrow" w:cs="Arial Narrow"/>
          <w:b/>
          <w:color w:val="000000"/>
          <w:sz w:val="22"/>
          <w:szCs w:val="22"/>
        </w:rPr>
        <w:t>Tenderska dokumentacija dostupna je kod Ugov</w:t>
      </w:r>
      <w:r w:rsidR="003F1B56">
        <w:rPr>
          <w:rFonts w:ascii="Arial Narrow" w:eastAsia="Arial Narrow" w:hAnsi="Arial Narrow" w:cs="Arial Narrow"/>
          <w:b/>
          <w:color w:val="000000"/>
          <w:sz w:val="22"/>
          <w:szCs w:val="22"/>
        </w:rPr>
        <w:t xml:space="preserve">ornog </w:t>
      </w:r>
      <w:r>
        <w:rPr>
          <w:rFonts w:ascii="Arial Narrow" w:eastAsia="Arial Narrow" w:hAnsi="Arial Narrow" w:cs="Arial Narrow"/>
          <w:b/>
          <w:color w:val="000000"/>
          <w:sz w:val="22"/>
          <w:szCs w:val="22"/>
        </w:rPr>
        <w:t>tijela. Ponude se moraju dostaviti  koristeći standardni Obrazac ponude za ugovor o nabavci robe koji je uključen u tendersku dokumentaciju te čiji format i upute treba strogo poštivati.</w:t>
      </w:r>
    </w:p>
    <w:p w:rsidR="007F3A2A" w:rsidRDefault="00427D02">
      <w:pPr>
        <w:pBdr>
          <w:top w:val="nil"/>
          <w:left w:val="nil"/>
          <w:bottom w:val="nil"/>
          <w:right w:val="nil"/>
          <w:between w:val="nil"/>
        </w:pBdr>
        <w:spacing w:after="0" w:line="240" w:lineRule="auto"/>
        <w:ind w:left="0" w:right="6"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Tenderers with questions regarding this tender should send them in writing to e-mail </w:t>
      </w:r>
      <w:hyperlink r:id="rId14" w:history="1">
        <w:r w:rsidR="00B5561E" w:rsidRPr="00F57990">
          <w:rPr>
            <w:rStyle w:val="Hyperlink"/>
            <w:rFonts w:ascii="Arial Narrow" w:eastAsia="Arial Narrow" w:hAnsi="Arial Narrow" w:cs="Arial Narrow"/>
            <w:sz w:val="22"/>
            <w:szCs w:val="22"/>
          </w:rPr>
          <w:t>a.kurtovic@zzjzfbih.ba</w:t>
        </w:r>
      </w:hyperlink>
      <w:r w:rsidR="004A090C">
        <w:rPr>
          <w:rFonts w:ascii="Arial Narrow" w:eastAsia="Arial Narrow" w:hAnsi="Arial Narrow" w:cs="Arial Narrow"/>
          <w:color w:val="1155CC"/>
          <w:sz w:val="22"/>
          <w:szCs w:val="22"/>
          <w:u w:val="single"/>
        </w:rPr>
        <w:t xml:space="preserve"> </w:t>
      </w:r>
      <w:r>
        <w:rPr>
          <w:rFonts w:ascii="Arial Narrow" w:eastAsia="Arial Narrow" w:hAnsi="Arial Narrow" w:cs="Arial Narrow"/>
          <w:color w:val="000000"/>
          <w:sz w:val="22"/>
          <w:szCs w:val="22"/>
        </w:rPr>
        <w:t xml:space="preserve"> or </w:t>
      </w:r>
      <w:hyperlink r:id="rId15" w:history="1">
        <w:r w:rsidR="00B5561E" w:rsidRPr="00F57990">
          <w:rPr>
            <w:rStyle w:val="Hyperlink"/>
            <w:rFonts w:ascii="Arial Narrow" w:eastAsia="Arial Narrow" w:hAnsi="Arial Narrow" w:cs="Arial Narrow"/>
            <w:sz w:val="22"/>
            <w:szCs w:val="22"/>
          </w:rPr>
          <w:t>s.sarac@zzjzfbih.ba</w:t>
        </w:r>
      </w:hyperlink>
      <w:r w:rsidR="00B5561E">
        <w:rPr>
          <w:rFonts w:ascii="Arial Narrow" w:eastAsia="Arial Narrow" w:hAnsi="Arial Narrow" w:cs="Arial Narrow"/>
          <w:color w:val="000000"/>
          <w:sz w:val="22"/>
          <w:szCs w:val="22"/>
        </w:rPr>
        <w:t xml:space="preserve"> or </w:t>
      </w:r>
      <w:r>
        <w:rPr>
          <w:rFonts w:ascii="Arial Narrow" w:eastAsia="Arial Narrow" w:hAnsi="Arial Narrow" w:cs="Arial Narrow"/>
          <w:color w:val="000000"/>
          <w:sz w:val="22"/>
          <w:szCs w:val="22"/>
        </w:rPr>
        <w:t xml:space="preserve">Address: </w:t>
      </w:r>
      <w:r w:rsidR="004A090C">
        <w:rPr>
          <w:rFonts w:ascii="Arial Narrow" w:eastAsia="Arial Narrow" w:hAnsi="Arial Narrow" w:cs="Arial Narrow"/>
          <w:color w:val="000000"/>
          <w:sz w:val="22"/>
          <w:szCs w:val="22"/>
        </w:rPr>
        <w:t>Titova 9, 71000 Sarajevo</w:t>
      </w:r>
      <w:r>
        <w:rPr>
          <w:rFonts w:ascii="Arial Narrow" w:eastAsia="Arial Narrow" w:hAnsi="Arial Narrow" w:cs="Arial Narrow"/>
          <w:color w:val="000000"/>
          <w:sz w:val="22"/>
          <w:szCs w:val="22"/>
        </w:rPr>
        <w:t xml:space="preserve"> (mentioning the publication reference shown in item 1) at least 21 days before the deadline for submission of tenders given in item 19. The Contracting Authority must reply to all tenderers' questions at the latest 11 days before the deadline for submission of tenders. Eventual clarifications or minor changes to the tender dossier shall be published at the latest 11 days before the submission deadline on the on the web site </w:t>
      </w:r>
      <w:r w:rsidR="004A090C">
        <w:rPr>
          <w:rFonts w:ascii="Arial Narrow" w:eastAsia="Arial Narrow" w:hAnsi="Arial Narrow" w:cs="Arial Narrow"/>
          <w:color w:val="000000"/>
          <w:sz w:val="22"/>
          <w:szCs w:val="22"/>
        </w:rPr>
        <w:t>www.zzjzfbih.ba</w:t>
      </w:r>
    </w:p>
    <w:p w:rsidR="007F3A2A" w:rsidRDefault="00427D02">
      <w:pPr>
        <w:spacing w:before="0" w:after="0"/>
        <w:ind w:left="0" w:right="6"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Ponuđači koji imaju pitanja o ovom tenderu trebaju ih poslati u pisanom obliku na </w:t>
      </w:r>
      <w:hyperlink r:id="rId16" w:history="1">
        <w:r w:rsidR="00B5561E" w:rsidRPr="00F57990">
          <w:rPr>
            <w:rStyle w:val="Hyperlink"/>
            <w:rFonts w:ascii="Arial Narrow" w:eastAsia="Arial Narrow" w:hAnsi="Arial Narrow" w:cs="Arial Narrow"/>
            <w:b/>
            <w:sz w:val="22"/>
            <w:szCs w:val="22"/>
          </w:rPr>
          <w:t>a.kurtovic@zzjzfbih.ba</w:t>
        </w:r>
      </w:hyperlink>
      <w:r>
        <w:rPr>
          <w:rFonts w:ascii="Arial Narrow" w:eastAsia="Arial Narrow" w:hAnsi="Arial Narrow" w:cs="Arial Narrow"/>
          <w:b/>
          <w:sz w:val="22"/>
          <w:szCs w:val="22"/>
        </w:rPr>
        <w:t xml:space="preserve">  </w:t>
      </w:r>
      <w:r w:rsidR="00B5561E">
        <w:rPr>
          <w:rFonts w:ascii="Arial Narrow" w:eastAsia="Arial Narrow" w:hAnsi="Arial Narrow" w:cs="Arial Narrow"/>
          <w:b/>
          <w:sz w:val="22"/>
          <w:szCs w:val="22"/>
        </w:rPr>
        <w:t xml:space="preserve">ili </w:t>
      </w:r>
      <w:hyperlink r:id="rId17" w:history="1">
        <w:r w:rsidR="00B5561E" w:rsidRPr="00F57990">
          <w:rPr>
            <w:rStyle w:val="Hyperlink"/>
            <w:rFonts w:ascii="Arial Narrow" w:eastAsia="Arial Narrow" w:hAnsi="Arial Narrow" w:cs="Arial Narrow"/>
            <w:b/>
            <w:sz w:val="22"/>
            <w:szCs w:val="22"/>
          </w:rPr>
          <w:t>s.sarac@zzjzfbih.ba</w:t>
        </w:r>
      </w:hyperlink>
      <w:r w:rsidR="00B5561E">
        <w:rPr>
          <w:rFonts w:ascii="Arial Narrow" w:eastAsia="Arial Narrow" w:hAnsi="Arial Narrow" w:cs="Arial Narrow"/>
          <w:b/>
          <w:sz w:val="22"/>
          <w:szCs w:val="22"/>
        </w:rPr>
        <w:t xml:space="preserve"> </w:t>
      </w:r>
      <w:r>
        <w:rPr>
          <w:rFonts w:ascii="Arial Narrow" w:eastAsia="Arial Narrow" w:hAnsi="Arial Narrow" w:cs="Arial Narrow"/>
          <w:b/>
          <w:sz w:val="22"/>
          <w:szCs w:val="22"/>
        </w:rPr>
        <w:t xml:space="preserve">ili na adresu </w:t>
      </w:r>
      <w:r w:rsidR="004A090C">
        <w:rPr>
          <w:rFonts w:ascii="Arial Narrow" w:eastAsia="Arial Narrow" w:hAnsi="Arial Narrow" w:cs="Arial Narrow"/>
          <w:b/>
          <w:sz w:val="22"/>
          <w:szCs w:val="22"/>
        </w:rPr>
        <w:t>Titova 9, 71000 Sarajevo</w:t>
      </w:r>
      <w:r>
        <w:rPr>
          <w:rFonts w:ascii="Arial Narrow" w:eastAsia="Arial Narrow" w:hAnsi="Arial Narrow" w:cs="Arial Narrow"/>
          <w:b/>
          <w:sz w:val="22"/>
          <w:szCs w:val="22"/>
        </w:rPr>
        <w:t xml:space="preserve"> (uz navođenje broja objave </w:t>
      </w:r>
      <w:r w:rsidR="004A090C">
        <w:rPr>
          <w:rFonts w:ascii="Arial Narrow" w:eastAsia="Arial Narrow" w:hAnsi="Arial Narrow" w:cs="Arial Narrow"/>
          <w:b/>
          <w:sz w:val="22"/>
          <w:szCs w:val="22"/>
        </w:rPr>
        <w:t>iz prve stavke) najmanje 21 dan</w:t>
      </w:r>
      <w:r>
        <w:rPr>
          <w:rFonts w:ascii="Arial Narrow" w:eastAsia="Arial Narrow" w:hAnsi="Arial Narrow" w:cs="Arial Narrow"/>
          <w:b/>
          <w:sz w:val="22"/>
          <w:szCs w:val="22"/>
        </w:rPr>
        <w:t xml:space="preserve"> prije isteka roka za podnošenje ponuda navedenog u stavci 19. Ugov</w:t>
      </w:r>
      <w:r w:rsidR="001B2585">
        <w:rPr>
          <w:rFonts w:ascii="Arial Narrow" w:eastAsia="Arial Narrow" w:hAnsi="Arial Narrow" w:cs="Arial Narrow"/>
          <w:b/>
          <w:sz w:val="22"/>
          <w:szCs w:val="22"/>
        </w:rPr>
        <w:t>orno</w:t>
      </w:r>
      <w:r>
        <w:rPr>
          <w:rFonts w:ascii="Arial Narrow" w:eastAsia="Arial Narrow" w:hAnsi="Arial Narrow" w:cs="Arial Narrow"/>
          <w:b/>
          <w:sz w:val="22"/>
          <w:szCs w:val="22"/>
        </w:rPr>
        <w:t xml:space="preserve"> tijelo mora odgovoriti na pitanja svih Ponuđača najmanje 11 dana prije isteka roka za podnošenje ponuda. Moguća pojašnjenja ili manje promjene u natječajnoj dokumentaciji moraju biti objavljene najmanje 11 dana prije isteka roka za podnošenje ponuda i to na internetskoj stranici </w:t>
      </w:r>
      <w:r w:rsidRPr="004A090C">
        <w:rPr>
          <w:rFonts w:ascii="Arial Narrow" w:eastAsia="Arial Narrow" w:hAnsi="Arial Narrow" w:cs="Arial Narrow"/>
          <w:b/>
          <w:sz w:val="22"/>
          <w:szCs w:val="22"/>
        </w:rPr>
        <w:t>www.</w:t>
      </w:r>
      <w:r w:rsidR="004A090C" w:rsidRPr="004A090C">
        <w:rPr>
          <w:rFonts w:ascii="Arial Narrow" w:eastAsia="Arial Narrow" w:hAnsi="Arial Narrow" w:cs="Arial Narrow"/>
          <w:b/>
          <w:sz w:val="22"/>
          <w:szCs w:val="22"/>
        </w:rPr>
        <w:t>zzjzfbih.ba</w:t>
      </w:r>
    </w:p>
    <w:p w:rsidR="007F3A2A" w:rsidRDefault="007F3A2A">
      <w:pPr>
        <w:pBdr>
          <w:top w:val="nil"/>
          <w:left w:val="nil"/>
          <w:bottom w:val="nil"/>
          <w:right w:val="nil"/>
          <w:between w:val="nil"/>
        </w:pBdr>
        <w:spacing w:after="0" w:line="240" w:lineRule="auto"/>
        <w:ind w:left="0" w:right="6" w:hanging="2"/>
        <w:jc w:val="both"/>
        <w:rPr>
          <w:rFonts w:ascii="Arial Narrow" w:eastAsia="Arial Narrow" w:hAnsi="Arial Narrow" w:cs="Arial Narrow"/>
          <w:color w:val="000000"/>
          <w:sz w:val="22"/>
          <w:szCs w:val="22"/>
        </w:rPr>
      </w:pPr>
    </w:p>
    <w:p w:rsidR="007F3A2A" w:rsidRDefault="00427D02">
      <w:pPr>
        <w:numPr>
          <w:ilvl w:val="0"/>
          <w:numId w:val="2"/>
        </w:numPr>
        <w:ind w:left="0" w:right="1" w:hanging="2"/>
        <w:jc w:val="both"/>
        <w:rPr>
          <w:rFonts w:ascii="Arial Narrow" w:eastAsia="Arial Narrow" w:hAnsi="Arial Narrow" w:cs="Arial Narrow"/>
          <w:b/>
          <w:sz w:val="22"/>
          <w:szCs w:val="22"/>
        </w:rPr>
      </w:pPr>
      <w:r>
        <w:rPr>
          <w:rFonts w:ascii="Arial Narrow" w:eastAsia="Arial Narrow" w:hAnsi="Arial Narrow" w:cs="Arial Narrow"/>
          <w:sz w:val="22"/>
          <w:szCs w:val="22"/>
        </w:rPr>
        <w:t>Deadline for submission of tenders</w:t>
      </w:r>
      <w:r w:rsidR="001F7B96">
        <w:rPr>
          <w:rFonts w:ascii="Arial Narrow" w:eastAsia="Arial Narrow" w:hAnsi="Arial Narrow" w:cs="Arial Narrow"/>
          <w:b/>
          <w:sz w:val="22"/>
          <w:szCs w:val="22"/>
        </w:rPr>
        <w:t xml:space="preserve"> / Rok za dostav</w:t>
      </w:r>
      <w:r>
        <w:rPr>
          <w:rFonts w:ascii="Arial Narrow" w:eastAsia="Arial Narrow" w:hAnsi="Arial Narrow" w:cs="Arial Narrow"/>
          <w:b/>
          <w:sz w:val="22"/>
          <w:szCs w:val="22"/>
        </w:rPr>
        <w:t>ljanje ponuda</w:t>
      </w:r>
    </w:p>
    <w:p w:rsidR="007F3A2A" w:rsidRDefault="00427D02" w:rsidP="001F7B9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jc w:val="both"/>
        <w:rPr>
          <w:rFonts w:ascii="Arial Narrow" w:eastAsia="Arial Narrow" w:hAnsi="Arial Narrow" w:cs="Arial Narrow"/>
          <w:color w:val="222222"/>
          <w:sz w:val="22"/>
          <w:szCs w:val="22"/>
        </w:rPr>
      </w:pPr>
      <w:r>
        <w:rPr>
          <w:rFonts w:ascii="Arial Narrow" w:eastAsia="Arial Narrow" w:hAnsi="Arial Narrow" w:cs="Arial Narrow"/>
          <w:color w:val="000000"/>
          <w:sz w:val="22"/>
          <w:szCs w:val="22"/>
        </w:rPr>
        <w:t xml:space="preserve">The tenderer's attention is drawn to the fact that there are two different systems for sending tenders: one is by post or private mail service, the other is by hand delivery. / </w:t>
      </w:r>
      <w:r>
        <w:rPr>
          <w:rFonts w:ascii="Arial Narrow" w:eastAsia="Arial Narrow" w:hAnsi="Arial Narrow" w:cs="Arial Narrow"/>
          <w:b/>
          <w:color w:val="222222"/>
          <w:sz w:val="22"/>
          <w:szCs w:val="22"/>
        </w:rPr>
        <w:t xml:space="preserve">Skreće se pažnja </w:t>
      </w:r>
      <w:r w:rsidR="003F1B56">
        <w:rPr>
          <w:rFonts w:ascii="Arial Narrow" w:eastAsia="Arial Narrow" w:hAnsi="Arial Narrow" w:cs="Arial Narrow"/>
          <w:b/>
          <w:color w:val="222222"/>
          <w:sz w:val="22"/>
          <w:szCs w:val="22"/>
        </w:rPr>
        <w:t>P</w:t>
      </w:r>
      <w:r>
        <w:rPr>
          <w:rFonts w:ascii="Arial Narrow" w:eastAsia="Arial Narrow" w:hAnsi="Arial Narrow" w:cs="Arial Narrow"/>
          <w:b/>
          <w:color w:val="222222"/>
          <w:sz w:val="22"/>
          <w:szCs w:val="22"/>
        </w:rPr>
        <w:t>onu</w:t>
      </w:r>
      <w:r w:rsidR="003F1B56">
        <w:rPr>
          <w:rFonts w:ascii="Arial Narrow" w:eastAsia="Arial Narrow" w:hAnsi="Arial Narrow" w:cs="Arial Narrow"/>
          <w:b/>
          <w:color w:val="222222"/>
          <w:sz w:val="22"/>
          <w:szCs w:val="22"/>
        </w:rPr>
        <w:t>đača</w:t>
      </w:r>
      <w:r>
        <w:rPr>
          <w:rFonts w:ascii="Arial Narrow" w:eastAsia="Arial Narrow" w:hAnsi="Arial Narrow" w:cs="Arial Narrow"/>
          <w:b/>
          <w:color w:val="222222"/>
          <w:sz w:val="22"/>
          <w:szCs w:val="22"/>
        </w:rPr>
        <w:t xml:space="preserve"> na činjenicu da postoje dva različita sustava za slanje ponuda: jedan je putem pošte ili privatne pošte, a drugi je ručnom isporukom.</w:t>
      </w:r>
    </w:p>
    <w:p w:rsidR="007F3A2A" w:rsidRDefault="007F3A2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rPr>
          <w:rFonts w:ascii="Arial Narrow" w:eastAsia="Arial Narrow" w:hAnsi="Arial Narrow" w:cs="Arial Narrow"/>
          <w:color w:val="222222"/>
          <w:sz w:val="22"/>
          <w:szCs w:val="22"/>
        </w:rPr>
      </w:pPr>
    </w:p>
    <w:p w:rsidR="007F3A2A" w:rsidRDefault="00427D02" w:rsidP="001F7B96">
      <w:pPr>
        <w:pBdr>
          <w:top w:val="nil"/>
          <w:left w:val="nil"/>
          <w:bottom w:val="nil"/>
          <w:right w:val="nil"/>
          <w:between w:val="nil"/>
        </w:pBdr>
        <w:spacing w:line="240" w:lineRule="auto"/>
        <w:ind w:left="0" w:right="26"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 the first case, the tender must be sent before the date and time limit for submission, as evidenced by the postmark or deposit slip</w:t>
      </w:r>
      <w:r>
        <w:rPr>
          <w:rFonts w:ascii="Arial Narrow" w:eastAsia="Arial Narrow" w:hAnsi="Arial Narrow" w:cs="Arial Narrow"/>
          <w:color w:val="000000"/>
          <w:sz w:val="22"/>
          <w:szCs w:val="22"/>
          <w:vertAlign w:val="superscript"/>
        </w:rPr>
        <w:footnoteReference w:id="1"/>
      </w:r>
      <w:r>
        <w:rPr>
          <w:rFonts w:ascii="Arial Narrow" w:eastAsia="Arial Narrow" w:hAnsi="Arial Narrow" w:cs="Arial Narrow"/>
          <w:color w:val="000000"/>
          <w:sz w:val="22"/>
          <w:szCs w:val="22"/>
        </w:rPr>
        <w:t xml:space="preserve">, but in the second case it is the acknowledgment of receipt given at the time of the delivery of the tender which will serve as proof. </w:t>
      </w:r>
      <w:r>
        <w:rPr>
          <w:rFonts w:ascii="Arial Narrow" w:eastAsia="Arial Narrow" w:hAnsi="Arial Narrow" w:cs="Arial Narrow"/>
          <w:b/>
          <w:color w:val="222222"/>
          <w:sz w:val="22"/>
          <w:szCs w:val="22"/>
          <w:shd w:val="clear" w:color="auto" w:fill="F8F9FA"/>
        </w:rPr>
        <w:t>/ U prvom slučaju, ponuda mora biti poslana prije datuma i roka za podnošenje, što dokazuju poštanski žig ili listić, a u drugom slučaju to je potvrda primitka koja je dana u trenutku isporuke ponude. koja će poslužiti kao dokaz.</w:t>
      </w:r>
    </w:p>
    <w:p w:rsidR="001F7B96" w:rsidRDefault="001F7B96">
      <w:pPr>
        <w:pBdr>
          <w:top w:val="nil"/>
          <w:left w:val="nil"/>
          <w:bottom w:val="nil"/>
          <w:right w:val="nil"/>
          <w:between w:val="nil"/>
        </w:pBdr>
        <w:spacing w:line="240" w:lineRule="auto"/>
        <w:ind w:left="0" w:right="1" w:hanging="2"/>
        <w:jc w:val="both"/>
        <w:rPr>
          <w:rFonts w:ascii="Arial Narrow" w:eastAsia="Arial Narrow" w:hAnsi="Arial Narrow" w:cs="Arial Narrow"/>
          <w:color w:val="000000"/>
          <w:sz w:val="22"/>
          <w:szCs w:val="22"/>
        </w:rPr>
      </w:pPr>
    </w:p>
    <w:p w:rsidR="007F3A2A" w:rsidRPr="001F7B96" w:rsidRDefault="00427D02">
      <w:pPr>
        <w:pBdr>
          <w:top w:val="nil"/>
          <w:left w:val="nil"/>
          <w:bottom w:val="nil"/>
          <w:right w:val="nil"/>
          <w:between w:val="nil"/>
        </w:pBdr>
        <w:spacing w:line="240" w:lineRule="auto"/>
        <w:ind w:left="0" w:right="1" w:hanging="2"/>
        <w:jc w:val="both"/>
        <w:rPr>
          <w:rFonts w:ascii="Arial Narrow" w:eastAsia="Arial Narrow" w:hAnsi="Arial Narrow" w:cs="Arial Narrow"/>
          <w:color w:val="000000"/>
          <w:sz w:val="22"/>
          <w:szCs w:val="22"/>
        </w:rPr>
      </w:pPr>
      <w:r w:rsidRPr="001F7B96">
        <w:rPr>
          <w:rFonts w:ascii="Arial Narrow" w:eastAsia="Arial Narrow" w:hAnsi="Arial Narrow" w:cs="Arial Narrow"/>
          <w:color w:val="000000"/>
          <w:sz w:val="22"/>
          <w:szCs w:val="22"/>
        </w:rPr>
        <w:t xml:space="preserve">Time (Central European Standard Time) and date / </w:t>
      </w:r>
      <w:r w:rsidRPr="001F7B96">
        <w:rPr>
          <w:rFonts w:ascii="Arial Narrow" w:eastAsia="Arial Narrow" w:hAnsi="Arial Narrow" w:cs="Arial Narrow"/>
          <w:b/>
          <w:color w:val="000000"/>
          <w:sz w:val="22"/>
          <w:szCs w:val="22"/>
        </w:rPr>
        <w:t>Vrijeme (Centar</w:t>
      </w:r>
      <w:r w:rsidR="001F7B96">
        <w:rPr>
          <w:rFonts w:ascii="Arial Narrow" w:eastAsia="Arial Narrow" w:hAnsi="Arial Narrow" w:cs="Arial Narrow"/>
          <w:b/>
          <w:color w:val="000000"/>
          <w:sz w:val="22"/>
          <w:szCs w:val="22"/>
        </w:rPr>
        <w:t>a</w:t>
      </w:r>
      <w:r w:rsidRPr="001F7B96">
        <w:rPr>
          <w:rFonts w:ascii="Arial Narrow" w:eastAsia="Arial Narrow" w:hAnsi="Arial Narrow" w:cs="Arial Narrow"/>
          <w:b/>
          <w:color w:val="000000"/>
          <w:sz w:val="22"/>
          <w:szCs w:val="22"/>
        </w:rPr>
        <w:t xml:space="preserve">lno-evropsko standardno vrijeme) i datum: </w:t>
      </w:r>
    </w:p>
    <w:p w:rsidR="007F3A2A" w:rsidRPr="001F7B96" w:rsidRDefault="001F7B96">
      <w:pPr>
        <w:pBdr>
          <w:top w:val="nil"/>
          <w:left w:val="nil"/>
          <w:bottom w:val="nil"/>
          <w:right w:val="nil"/>
          <w:between w:val="nil"/>
        </w:pBdr>
        <w:spacing w:line="240" w:lineRule="auto"/>
        <w:ind w:left="0" w:right="1" w:hanging="2"/>
        <w:jc w:val="center"/>
        <w:rPr>
          <w:rFonts w:ascii="Arial Narrow" w:eastAsia="Arial Narrow" w:hAnsi="Arial Narrow" w:cs="Arial Narrow"/>
          <w:b/>
          <w:color w:val="000000"/>
          <w:sz w:val="22"/>
          <w:szCs w:val="22"/>
        </w:rPr>
      </w:pPr>
      <w:r w:rsidRPr="00EC0C19">
        <w:rPr>
          <w:rFonts w:ascii="Arial Narrow" w:eastAsia="Arial Narrow" w:hAnsi="Arial Narrow" w:cs="Arial Narrow"/>
          <w:b/>
          <w:color w:val="000000"/>
          <w:sz w:val="22"/>
          <w:szCs w:val="22"/>
          <w:highlight w:val="yellow"/>
        </w:rPr>
        <w:t>27/09/2021</w:t>
      </w:r>
      <w:r w:rsidR="00427D02" w:rsidRPr="00EC0C19">
        <w:rPr>
          <w:rFonts w:ascii="Arial Narrow" w:eastAsia="Arial Narrow" w:hAnsi="Arial Narrow" w:cs="Arial Narrow"/>
          <w:b/>
          <w:color w:val="000000"/>
          <w:sz w:val="22"/>
          <w:szCs w:val="22"/>
          <w:highlight w:val="yellow"/>
        </w:rPr>
        <w:t xml:space="preserve"> until / do 1</w:t>
      </w:r>
      <w:r w:rsidRPr="00EC0C19">
        <w:rPr>
          <w:rFonts w:ascii="Arial Narrow" w:eastAsia="Arial Narrow" w:hAnsi="Arial Narrow" w:cs="Arial Narrow"/>
          <w:b/>
          <w:color w:val="000000"/>
          <w:sz w:val="22"/>
          <w:szCs w:val="22"/>
          <w:highlight w:val="yellow"/>
        </w:rPr>
        <w:t>1</w:t>
      </w:r>
      <w:r w:rsidR="00427D02" w:rsidRPr="00EC0C19">
        <w:rPr>
          <w:rFonts w:ascii="Arial Narrow" w:eastAsia="Arial Narrow" w:hAnsi="Arial Narrow" w:cs="Arial Narrow"/>
          <w:b/>
          <w:color w:val="000000"/>
          <w:sz w:val="22"/>
          <w:szCs w:val="22"/>
          <w:highlight w:val="yellow"/>
        </w:rPr>
        <w:t>:00</w:t>
      </w:r>
    </w:p>
    <w:p w:rsidR="007F3A2A" w:rsidRDefault="00427D02">
      <w:pPr>
        <w:pBdr>
          <w:top w:val="nil"/>
          <w:left w:val="nil"/>
          <w:bottom w:val="nil"/>
          <w:right w:val="nil"/>
          <w:between w:val="nil"/>
        </w:pBdr>
        <w:spacing w:line="240" w:lineRule="auto"/>
        <w:ind w:left="0" w:right="1"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Any tender submitted to the contracting authority after this deadline will not be considered. /</w:t>
      </w:r>
      <w:r w:rsidR="001F7B96">
        <w:rPr>
          <w:rFonts w:ascii="Arial Narrow" w:eastAsia="Arial Narrow" w:hAnsi="Arial Narrow" w:cs="Arial Narrow"/>
          <w:b/>
          <w:color w:val="000000"/>
          <w:sz w:val="22"/>
          <w:szCs w:val="22"/>
        </w:rPr>
        <w:t xml:space="preserve"> Svaka ponuda podnesena Ugovornom </w:t>
      </w:r>
      <w:r>
        <w:rPr>
          <w:rFonts w:ascii="Arial Narrow" w:eastAsia="Arial Narrow" w:hAnsi="Arial Narrow" w:cs="Arial Narrow"/>
          <w:b/>
          <w:color w:val="000000"/>
          <w:sz w:val="22"/>
          <w:szCs w:val="22"/>
        </w:rPr>
        <w:t xml:space="preserve"> tijelu iza ovog roka neće biti razmatrana.</w:t>
      </w:r>
    </w:p>
    <w:p w:rsidR="007F3A2A" w:rsidRDefault="007F3A2A">
      <w:pPr>
        <w:pBdr>
          <w:top w:val="nil"/>
          <w:left w:val="nil"/>
          <w:bottom w:val="nil"/>
          <w:right w:val="nil"/>
          <w:between w:val="nil"/>
        </w:pBdr>
        <w:spacing w:line="240" w:lineRule="auto"/>
        <w:ind w:left="0" w:right="1" w:hanging="2"/>
        <w:jc w:val="both"/>
        <w:rPr>
          <w:rFonts w:ascii="Arial Narrow" w:eastAsia="Arial Narrow" w:hAnsi="Arial Narrow" w:cs="Arial Narrow"/>
          <w:color w:val="000000"/>
          <w:sz w:val="22"/>
          <w:szCs w:val="22"/>
        </w:rPr>
      </w:pPr>
    </w:p>
    <w:p w:rsidR="007F3A2A" w:rsidRDefault="00427D02" w:rsidP="001F7B9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jc w:val="both"/>
        <w:rPr>
          <w:rFonts w:ascii="Arial Narrow" w:eastAsia="Arial Narrow" w:hAnsi="Arial Narrow" w:cs="Arial Narrow"/>
          <w:color w:val="222222"/>
          <w:sz w:val="22"/>
          <w:szCs w:val="22"/>
        </w:rPr>
      </w:pPr>
      <w:r>
        <w:rPr>
          <w:rFonts w:ascii="Arial Narrow" w:eastAsia="Arial Narrow" w:hAnsi="Arial Narrow" w:cs="Arial Narrow"/>
          <w:color w:val="000000"/>
          <w:sz w:val="22"/>
          <w:szCs w:val="22"/>
        </w:rPr>
        <w:t xml:space="preserve">The contracting authority may, for reasons of administrative efficiency, reject any tender submitted on time to the postal service but received, for any reason beyond the contracting authority's control, after the effective date of approval  of the evaluation report, if accepting tenders that were submitted on time but arrived late would considerably delay the evaluation procedure or jeopardise decisions already taken and notified. </w:t>
      </w:r>
      <w:r>
        <w:rPr>
          <w:rFonts w:ascii="Arial Narrow" w:eastAsia="Arial Narrow" w:hAnsi="Arial Narrow" w:cs="Arial Narrow"/>
          <w:b/>
          <w:color w:val="000000"/>
          <w:sz w:val="22"/>
          <w:szCs w:val="22"/>
        </w:rPr>
        <w:t>/</w:t>
      </w:r>
      <w:r>
        <w:rPr>
          <w:rFonts w:ascii="Arial Narrow" w:eastAsia="Arial Narrow" w:hAnsi="Arial Narrow" w:cs="Arial Narrow"/>
          <w:b/>
          <w:color w:val="222222"/>
          <w:sz w:val="22"/>
          <w:szCs w:val="22"/>
        </w:rPr>
        <w:t xml:space="preserve"> Ugov</w:t>
      </w:r>
      <w:r w:rsidR="001F7B96">
        <w:rPr>
          <w:rFonts w:ascii="Arial Narrow" w:eastAsia="Arial Narrow" w:hAnsi="Arial Narrow" w:cs="Arial Narrow"/>
          <w:b/>
          <w:color w:val="222222"/>
          <w:sz w:val="22"/>
          <w:szCs w:val="22"/>
        </w:rPr>
        <w:t xml:space="preserve">orno </w:t>
      </w:r>
      <w:r>
        <w:rPr>
          <w:rFonts w:ascii="Arial Narrow" w:eastAsia="Arial Narrow" w:hAnsi="Arial Narrow" w:cs="Arial Narrow"/>
          <w:b/>
          <w:color w:val="222222"/>
          <w:sz w:val="22"/>
          <w:szCs w:val="22"/>
        </w:rPr>
        <w:t xml:space="preserve">tijelo može, iz razloga administrativne učinkovitosti, odbiti bilo koju ponudu podnesenu na vrijeme poštanskoj usluzi, ali zaprimljenu, iz bilo kojeg razloga izvan kontrole </w:t>
      </w:r>
      <w:r w:rsidR="001F7B96">
        <w:rPr>
          <w:rFonts w:ascii="Arial Narrow" w:eastAsia="Arial Narrow" w:hAnsi="Arial Narrow" w:cs="Arial Narrow"/>
          <w:b/>
          <w:color w:val="222222"/>
          <w:sz w:val="22"/>
          <w:szCs w:val="22"/>
        </w:rPr>
        <w:t>Ugovornog tijela</w:t>
      </w:r>
      <w:r>
        <w:rPr>
          <w:rFonts w:ascii="Arial Narrow" w:eastAsia="Arial Narrow" w:hAnsi="Arial Narrow" w:cs="Arial Narrow"/>
          <w:b/>
          <w:color w:val="222222"/>
          <w:sz w:val="22"/>
          <w:szCs w:val="22"/>
        </w:rPr>
        <w:t>, nakon efektivnog datuma odobrenja izvještaja o evaluaciji, ako bi prihvaćanje ponude koja je predata na vrijeme, ali stigla kasno, znatno odgodilo postupak evaluacije ili ugrozilo već donesene i obaviještene odluke.</w:t>
      </w:r>
    </w:p>
    <w:p w:rsidR="007F3A2A" w:rsidRDefault="007F3A2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rPr>
          <w:rFonts w:ascii="Arial Narrow" w:eastAsia="Arial Narrow" w:hAnsi="Arial Narrow" w:cs="Arial Narrow"/>
          <w:color w:val="222222"/>
          <w:sz w:val="22"/>
          <w:szCs w:val="22"/>
        </w:rPr>
      </w:pPr>
    </w:p>
    <w:p w:rsidR="007F3A2A" w:rsidRPr="000D1A4E" w:rsidRDefault="00427D02">
      <w:pPr>
        <w:ind w:left="0" w:right="26" w:hanging="2"/>
        <w:rPr>
          <w:rFonts w:ascii="Arial Narrow" w:hAnsi="Arial Narrow"/>
          <w:b/>
        </w:rPr>
      </w:pPr>
      <w:r w:rsidRPr="000D1A4E">
        <w:rPr>
          <w:rFonts w:ascii="Arial Narrow" w:hAnsi="Arial Narrow"/>
          <w:b/>
          <w:sz w:val="22"/>
          <w:szCs w:val="22"/>
        </w:rPr>
        <w:tab/>
      </w:r>
      <w:r w:rsidRPr="000D1A4E">
        <w:rPr>
          <w:rFonts w:ascii="Arial Narrow" w:hAnsi="Arial Narrow"/>
        </w:rPr>
        <w:t>How tenders may be submitted</w:t>
      </w:r>
      <w:r w:rsidRPr="000D1A4E">
        <w:rPr>
          <w:rFonts w:ascii="Arial Narrow" w:hAnsi="Arial Narrow"/>
          <w:b/>
        </w:rPr>
        <w:t>/ Kako se ponude mogu podnijeti</w:t>
      </w:r>
    </w:p>
    <w:p w:rsidR="007F3A2A" w:rsidRPr="000D1A4E" w:rsidRDefault="007F3A2A">
      <w:pPr>
        <w:ind w:left="0" w:right="26" w:hanging="2"/>
        <w:rPr>
          <w:rFonts w:ascii="Arial Narrow" w:hAnsi="Arial Narrow"/>
        </w:rPr>
      </w:pPr>
    </w:p>
    <w:p w:rsidR="007F3A2A" w:rsidRPr="003476DB" w:rsidRDefault="00427D02">
      <w:pPr>
        <w:pBdr>
          <w:top w:val="nil"/>
          <w:left w:val="nil"/>
          <w:bottom w:val="nil"/>
          <w:right w:val="nil"/>
          <w:between w:val="nil"/>
        </w:pBdr>
        <w:spacing w:line="240" w:lineRule="auto"/>
        <w:ind w:left="0" w:right="26" w:hanging="2"/>
        <w:jc w:val="both"/>
        <w:rPr>
          <w:rFonts w:ascii="Arial Narrow" w:hAnsi="Arial Narrow"/>
          <w:b/>
          <w:color w:val="000000"/>
          <w:sz w:val="22"/>
          <w:szCs w:val="22"/>
        </w:rPr>
      </w:pPr>
      <w:r w:rsidRPr="000D1A4E">
        <w:rPr>
          <w:rFonts w:ascii="Arial Narrow" w:hAnsi="Arial Narrow"/>
          <w:color w:val="000000"/>
          <w:sz w:val="22"/>
          <w:szCs w:val="22"/>
        </w:rPr>
        <w:t xml:space="preserve">Tenders must be submitted in English or in one of languages in use in Bosnia and Herzegovina exclusively to the contracting authority in a sealed envelope / </w:t>
      </w:r>
      <w:r w:rsidRPr="003476DB">
        <w:rPr>
          <w:rFonts w:ascii="Arial Narrow" w:hAnsi="Arial Narrow"/>
          <w:b/>
          <w:color w:val="000000"/>
          <w:sz w:val="22"/>
          <w:szCs w:val="22"/>
        </w:rPr>
        <w:t>Ponude se mogu podnijeti na engleskom ili na jednom od jezika u upotrebi u Bosni i Hercegovini, isključivo Ugov</w:t>
      </w:r>
      <w:r w:rsidR="003476DB">
        <w:rPr>
          <w:rFonts w:ascii="Arial Narrow" w:hAnsi="Arial Narrow"/>
          <w:b/>
          <w:color w:val="000000"/>
          <w:sz w:val="22"/>
          <w:szCs w:val="22"/>
        </w:rPr>
        <w:t>ornom</w:t>
      </w:r>
      <w:r w:rsidRPr="003476DB">
        <w:rPr>
          <w:rFonts w:ascii="Arial Narrow" w:hAnsi="Arial Narrow"/>
          <w:b/>
          <w:color w:val="000000"/>
          <w:sz w:val="22"/>
          <w:szCs w:val="22"/>
        </w:rPr>
        <w:t xml:space="preserve"> tijelu u zatvorenoj koverti:</w:t>
      </w:r>
    </w:p>
    <w:p w:rsidR="007F3A2A" w:rsidRPr="000D1A4E" w:rsidRDefault="00427D02">
      <w:pPr>
        <w:widowControl/>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rPr>
          <w:rFonts w:ascii="Arial Narrow" w:eastAsia="Arial Narrow" w:hAnsi="Arial Narrow" w:cs="Arial Narrow"/>
          <w:color w:val="222222"/>
          <w:sz w:val="22"/>
          <w:szCs w:val="22"/>
        </w:rPr>
      </w:pPr>
      <w:r w:rsidRPr="000D1A4E">
        <w:rPr>
          <w:rFonts w:ascii="Arial Narrow" w:eastAsia="Arial Narrow" w:hAnsi="Arial Narrow" w:cs="Arial Narrow"/>
          <w:color w:val="000000"/>
          <w:sz w:val="22"/>
          <w:szCs w:val="22"/>
        </w:rPr>
        <w:t xml:space="preserve"> EITHER by post or by courier service, in which case the evidence shall be constituted by the postmark or the date of the deposit slip, to / </w:t>
      </w:r>
      <w:r w:rsidRPr="000D1A4E">
        <w:rPr>
          <w:rFonts w:ascii="Arial Narrow" w:eastAsia="Arial Narrow" w:hAnsi="Arial Narrow" w:cs="Arial Narrow"/>
          <w:b/>
          <w:color w:val="222222"/>
          <w:sz w:val="22"/>
          <w:szCs w:val="22"/>
        </w:rPr>
        <w:t>Poštom ili kurirskom službom; u tom slučaju se dokazi sastoje od poštanske marke ili datuma pologa, za:</w:t>
      </w:r>
    </w:p>
    <w:p w:rsidR="007F3A2A" w:rsidRPr="000D1A4E" w:rsidRDefault="00427D02">
      <w:pPr>
        <w:numPr>
          <w:ilvl w:val="0"/>
          <w:numId w:val="1"/>
        </w:numPr>
        <w:ind w:left="0" w:right="26" w:hanging="2"/>
        <w:jc w:val="both"/>
        <w:rPr>
          <w:rFonts w:ascii="Arial Narrow" w:hAnsi="Arial Narrow"/>
          <w:sz w:val="22"/>
          <w:szCs w:val="22"/>
        </w:rPr>
      </w:pPr>
      <w:r w:rsidRPr="000D1A4E">
        <w:rPr>
          <w:rFonts w:ascii="Arial Narrow" w:hAnsi="Arial Narrow"/>
          <w:sz w:val="22"/>
          <w:szCs w:val="22"/>
        </w:rPr>
        <w:t xml:space="preserve"> :</w:t>
      </w:r>
    </w:p>
    <w:p w:rsidR="007F3A2A" w:rsidRPr="003476DB" w:rsidRDefault="00427D02">
      <w:pPr>
        <w:pBdr>
          <w:top w:val="nil"/>
          <w:left w:val="nil"/>
          <w:bottom w:val="nil"/>
          <w:right w:val="nil"/>
          <w:between w:val="nil"/>
        </w:pBdr>
        <w:spacing w:line="240" w:lineRule="auto"/>
        <w:ind w:left="0" w:right="26" w:hanging="2"/>
        <w:jc w:val="center"/>
        <w:rPr>
          <w:rFonts w:ascii="Arial Narrow" w:hAnsi="Arial Narrow"/>
          <w:color w:val="FF0000"/>
          <w:sz w:val="22"/>
          <w:szCs w:val="22"/>
        </w:rPr>
      </w:pPr>
      <w:r w:rsidRPr="003476DB">
        <w:rPr>
          <w:rFonts w:ascii="Arial Narrow" w:hAnsi="Arial Narrow"/>
          <w:color w:val="FF0000"/>
          <w:sz w:val="22"/>
          <w:szCs w:val="22"/>
        </w:rPr>
        <w:t xml:space="preserve">for indirect management </w:t>
      </w:r>
      <w:r w:rsidRPr="003476DB">
        <w:rPr>
          <w:rFonts w:ascii="Arial Narrow" w:hAnsi="Arial Narrow"/>
          <w:color w:val="FF0000"/>
          <w:sz w:val="22"/>
          <w:szCs w:val="22"/>
        </w:rPr>
        <w:br/>
        <w:t>&lt;Name of contact person</w:t>
      </w:r>
      <w:r w:rsidRPr="003476DB">
        <w:rPr>
          <w:rFonts w:ascii="Arial Narrow" w:hAnsi="Arial Narrow"/>
          <w:color w:val="FF0000"/>
          <w:sz w:val="22"/>
          <w:szCs w:val="22"/>
        </w:rPr>
        <w:br/>
        <w:t>Address of contracting authority&gt;</w:t>
      </w:r>
      <w:r w:rsidRPr="003476DB">
        <w:rPr>
          <w:rFonts w:ascii="Arial Narrow" w:hAnsi="Arial Narrow"/>
          <w:i/>
          <w:color w:val="FF0000"/>
          <w:sz w:val="22"/>
          <w:szCs w:val="22"/>
        </w:rPr>
        <w:br/>
      </w:r>
    </w:p>
    <w:p w:rsidR="007F3A2A" w:rsidRPr="003476DB" w:rsidRDefault="00427D02">
      <w:pPr>
        <w:pBdr>
          <w:top w:val="nil"/>
          <w:left w:val="nil"/>
          <w:bottom w:val="nil"/>
          <w:right w:val="nil"/>
          <w:between w:val="nil"/>
        </w:pBdr>
        <w:spacing w:line="240" w:lineRule="auto"/>
        <w:ind w:left="0" w:right="26" w:hanging="2"/>
        <w:jc w:val="center"/>
        <w:rPr>
          <w:rFonts w:ascii="Arial Narrow" w:hAnsi="Arial Narrow"/>
          <w:color w:val="FF0000"/>
          <w:sz w:val="22"/>
          <w:szCs w:val="22"/>
        </w:rPr>
      </w:pPr>
      <w:r w:rsidRPr="003476DB">
        <w:rPr>
          <w:rFonts w:ascii="Arial Narrow" w:hAnsi="Arial Narrow"/>
          <w:color w:val="FF0000"/>
          <w:sz w:val="22"/>
          <w:szCs w:val="22"/>
        </w:rPr>
        <w:t>OR for direct management</w:t>
      </w:r>
      <w:r w:rsidRPr="003476DB">
        <w:rPr>
          <w:rFonts w:ascii="Arial Narrow" w:hAnsi="Arial Narrow"/>
          <w:color w:val="FF0000"/>
          <w:sz w:val="22"/>
          <w:szCs w:val="22"/>
        </w:rPr>
        <w:br/>
        <w:t>&lt;Address of European Commission&gt;</w:t>
      </w:r>
    </w:p>
    <w:p w:rsidR="007F3A2A" w:rsidRPr="000D1A4E" w:rsidRDefault="007F3A2A">
      <w:pPr>
        <w:pBdr>
          <w:top w:val="nil"/>
          <w:left w:val="nil"/>
          <w:bottom w:val="nil"/>
          <w:right w:val="nil"/>
          <w:between w:val="nil"/>
        </w:pBdr>
        <w:spacing w:line="240" w:lineRule="auto"/>
        <w:ind w:left="0" w:right="26" w:hanging="2"/>
        <w:jc w:val="center"/>
        <w:rPr>
          <w:rFonts w:ascii="Arial Narrow" w:hAnsi="Arial Narrow"/>
          <w:color w:val="000000"/>
          <w:sz w:val="22"/>
          <w:szCs w:val="22"/>
        </w:rPr>
      </w:pPr>
    </w:p>
    <w:p w:rsidR="007F3A2A" w:rsidRDefault="00427D02" w:rsidP="003476DB">
      <w:pPr>
        <w:widowControl/>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jc w:val="both"/>
        <w:rPr>
          <w:rFonts w:ascii="Arial Narrow" w:eastAsia="Arial Narrow" w:hAnsi="Arial Narrow" w:cs="Arial Narrow"/>
          <w:color w:val="222222"/>
          <w:sz w:val="22"/>
          <w:szCs w:val="22"/>
        </w:rPr>
      </w:pPr>
      <w:r>
        <w:rPr>
          <w:rFonts w:ascii="Arial Narrow" w:eastAsia="Arial Narrow" w:hAnsi="Arial Narrow" w:cs="Arial Narrow"/>
          <w:color w:val="000000"/>
          <w:sz w:val="22"/>
          <w:szCs w:val="22"/>
        </w:rPr>
        <w:t xml:space="preserve">OR hand delivered by the participant in person or by an agent directly to the premises of the contracting authority in return for a signed and dated receipt, in which case the evidence shall be constituted by this acknowledgement of receipt, to / </w:t>
      </w:r>
      <w:r>
        <w:rPr>
          <w:rFonts w:ascii="Arial Narrow" w:eastAsia="Arial Narrow" w:hAnsi="Arial Narrow" w:cs="Arial Narrow"/>
          <w:b/>
          <w:color w:val="222222"/>
          <w:sz w:val="22"/>
          <w:szCs w:val="22"/>
        </w:rPr>
        <w:t xml:space="preserve">ILI sudionik predaje osobno ili preko </w:t>
      </w:r>
      <w:r w:rsidR="003476DB">
        <w:rPr>
          <w:rFonts w:ascii="Arial Narrow" w:eastAsia="Arial Narrow" w:hAnsi="Arial Narrow" w:cs="Arial Narrow"/>
          <w:b/>
          <w:color w:val="222222"/>
          <w:sz w:val="22"/>
          <w:szCs w:val="22"/>
        </w:rPr>
        <w:t>agenta  izravno u prostorijama U</w:t>
      </w:r>
      <w:r>
        <w:rPr>
          <w:rFonts w:ascii="Arial Narrow" w:eastAsia="Arial Narrow" w:hAnsi="Arial Narrow" w:cs="Arial Narrow"/>
          <w:b/>
          <w:color w:val="222222"/>
          <w:sz w:val="22"/>
          <w:szCs w:val="22"/>
        </w:rPr>
        <w:t>govornog tijela u zamjenu za potpisan i datiran primitak, u kojem slučaju se dokazi sačinjavaju ovom potvrdom primitka na:</w:t>
      </w:r>
    </w:p>
    <w:p w:rsidR="007F3A2A" w:rsidRDefault="00427D02">
      <w:pPr>
        <w:numPr>
          <w:ilvl w:val="0"/>
          <w:numId w:val="1"/>
        </w:numPr>
        <w:ind w:left="0" w:right="26" w:hanging="2"/>
        <w:jc w:val="both"/>
        <w:rPr>
          <w:sz w:val="22"/>
          <w:szCs w:val="22"/>
        </w:rPr>
      </w:pPr>
      <w:r>
        <w:rPr>
          <w:sz w:val="22"/>
          <w:szCs w:val="22"/>
        </w:rPr>
        <w:t>:</w:t>
      </w:r>
    </w:p>
    <w:p w:rsidR="007F3A2A" w:rsidRPr="003476DB" w:rsidRDefault="00427D02">
      <w:pPr>
        <w:pBdr>
          <w:top w:val="nil"/>
          <w:left w:val="nil"/>
          <w:bottom w:val="nil"/>
          <w:right w:val="nil"/>
          <w:between w:val="nil"/>
        </w:pBdr>
        <w:spacing w:line="240" w:lineRule="auto"/>
        <w:ind w:left="0" w:right="26" w:hanging="2"/>
        <w:jc w:val="center"/>
        <w:rPr>
          <w:rFonts w:ascii="Arial Narrow" w:hAnsi="Arial Narrow"/>
          <w:color w:val="FF0000"/>
          <w:sz w:val="22"/>
          <w:szCs w:val="22"/>
        </w:rPr>
      </w:pPr>
      <w:r w:rsidRPr="003476DB">
        <w:rPr>
          <w:rFonts w:ascii="Arial Narrow" w:hAnsi="Arial Narrow"/>
          <w:color w:val="FF0000"/>
          <w:sz w:val="22"/>
          <w:szCs w:val="22"/>
        </w:rPr>
        <w:t xml:space="preserve">for indirect management </w:t>
      </w:r>
      <w:r w:rsidRPr="003476DB">
        <w:rPr>
          <w:rFonts w:ascii="Arial Narrow" w:hAnsi="Arial Narrow"/>
          <w:color w:val="FF0000"/>
          <w:sz w:val="22"/>
          <w:szCs w:val="22"/>
        </w:rPr>
        <w:br/>
        <w:t>&lt;Name and telephone number of contact person</w:t>
      </w:r>
      <w:r w:rsidRPr="003476DB">
        <w:rPr>
          <w:rFonts w:ascii="Arial Narrow" w:hAnsi="Arial Narrow"/>
          <w:color w:val="FF0000"/>
          <w:sz w:val="22"/>
          <w:szCs w:val="22"/>
        </w:rPr>
        <w:br/>
        <w:t>Address of contracting authority</w:t>
      </w:r>
      <w:r w:rsidRPr="003476DB">
        <w:rPr>
          <w:rFonts w:ascii="Arial Narrow" w:hAnsi="Arial Narrow"/>
          <w:color w:val="FF0000"/>
        </w:rPr>
        <w:t xml:space="preserve"> </w:t>
      </w:r>
      <w:r w:rsidRPr="003476DB">
        <w:rPr>
          <w:rFonts w:ascii="Arial Narrow" w:hAnsi="Arial Narrow"/>
          <w:color w:val="FF0000"/>
          <w:sz w:val="22"/>
          <w:szCs w:val="22"/>
        </w:rPr>
        <w:t>including opening hours &gt;</w:t>
      </w:r>
      <w:r w:rsidRPr="003476DB">
        <w:rPr>
          <w:rFonts w:ascii="Arial Narrow" w:hAnsi="Arial Narrow"/>
          <w:i/>
          <w:color w:val="FF0000"/>
          <w:sz w:val="22"/>
          <w:szCs w:val="22"/>
        </w:rPr>
        <w:br/>
      </w:r>
    </w:p>
    <w:p w:rsidR="007F3A2A" w:rsidRPr="003476DB" w:rsidRDefault="00427D02">
      <w:pPr>
        <w:pBdr>
          <w:top w:val="nil"/>
          <w:left w:val="nil"/>
          <w:bottom w:val="nil"/>
          <w:right w:val="nil"/>
          <w:between w:val="nil"/>
        </w:pBdr>
        <w:spacing w:line="240" w:lineRule="auto"/>
        <w:ind w:left="0" w:right="26" w:hanging="2"/>
        <w:jc w:val="center"/>
        <w:rPr>
          <w:rFonts w:ascii="Arial Narrow" w:hAnsi="Arial Narrow"/>
          <w:color w:val="FF0000"/>
        </w:rPr>
      </w:pPr>
      <w:r w:rsidRPr="003476DB">
        <w:rPr>
          <w:rFonts w:ascii="Arial Narrow" w:hAnsi="Arial Narrow"/>
          <w:color w:val="FF0000"/>
          <w:sz w:val="22"/>
          <w:szCs w:val="22"/>
        </w:rPr>
        <w:t xml:space="preserve">OR for direct management </w:t>
      </w:r>
      <w:r w:rsidRPr="003476DB">
        <w:rPr>
          <w:rFonts w:ascii="Arial Narrow" w:hAnsi="Arial Narrow"/>
          <w:color w:val="FF0000"/>
          <w:sz w:val="22"/>
          <w:szCs w:val="22"/>
        </w:rPr>
        <w:br/>
        <w:t>&lt; Name and telephone number of contract person</w:t>
      </w:r>
      <w:r w:rsidRPr="003476DB">
        <w:rPr>
          <w:rFonts w:ascii="Arial Narrow" w:hAnsi="Arial Narrow"/>
          <w:color w:val="FF0000"/>
          <w:sz w:val="22"/>
          <w:szCs w:val="22"/>
        </w:rPr>
        <w:br/>
        <w:t>Address of</w:t>
      </w:r>
      <w:r w:rsidRPr="003476DB">
        <w:rPr>
          <w:rFonts w:ascii="Arial Narrow" w:hAnsi="Arial Narrow"/>
          <w:i/>
          <w:color w:val="FF0000"/>
          <w:sz w:val="22"/>
          <w:szCs w:val="22"/>
        </w:rPr>
        <w:t xml:space="preserve"> </w:t>
      </w:r>
      <w:r w:rsidRPr="003476DB">
        <w:rPr>
          <w:rFonts w:ascii="Arial Narrow" w:hAnsi="Arial Narrow"/>
          <w:color w:val="FF0000"/>
          <w:sz w:val="22"/>
          <w:szCs w:val="22"/>
        </w:rPr>
        <w:t xml:space="preserve">European </w:t>
      </w:r>
      <w:r w:rsidRPr="003476DB">
        <w:rPr>
          <w:rFonts w:ascii="Arial Narrow" w:hAnsi="Arial Narrow"/>
          <w:color w:val="FF0000"/>
        </w:rPr>
        <w:t>Commission including opening hours&gt;</w:t>
      </w:r>
    </w:p>
    <w:p w:rsidR="007F3A2A" w:rsidRPr="003476DB" w:rsidRDefault="00427D02" w:rsidP="003476DB">
      <w:pPr>
        <w:pBdr>
          <w:top w:val="nil"/>
          <w:left w:val="nil"/>
          <w:bottom w:val="nil"/>
          <w:right w:val="nil"/>
          <w:between w:val="nil"/>
        </w:pBdr>
        <w:spacing w:before="0" w:after="0" w:line="240" w:lineRule="auto"/>
        <w:ind w:left="0" w:right="28" w:hanging="2"/>
        <w:jc w:val="both"/>
        <w:rPr>
          <w:rFonts w:ascii="Arial Narrow" w:eastAsia="Arial Narrow" w:hAnsi="Arial Narrow" w:cs="Arial Narrow"/>
          <w:color w:val="000000"/>
          <w:sz w:val="22"/>
          <w:szCs w:val="22"/>
        </w:rPr>
      </w:pPr>
      <w:r w:rsidRPr="003476DB">
        <w:rPr>
          <w:rFonts w:ascii="Arial Narrow" w:eastAsia="Arial Narrow" w:hAnsi="Arial Narrow" w:cs="Arial Narrow"/>
          <w:color w:val="000000"/>
          <w:sz w:val="22"/>
          <w:szCs w:val="22"/>
        </w:rPr>
        <w:t xml:space="preserve">The contract title and the Publication reference (see item 1 above) must be clearly marked on the envelope containing the tender and must always be mentioned in all subsequent correspondence with the contracting authority. </w:t>
      </w:r>
      <w:r w:rsidRPr="003476DB">
        <w:rPr>
          <w:rFonts w:ascii="Arial Narrow" w:eastAsia="Arial Narrow" w:hAnsi="Arial Narrow" w:cs="Arial Narrow"/>
          <w:b/>
          <w:color w:val="000000"/>
          <w:sz w:val="22"/>
          <w:szCs w:val="22"/>
        </w:rPr>
        <w:t xml:space="preserve">/ </w:t>
      </w:r>
      <w:r w:rsidRPr="003476DB">
        <w:rPr>
          <w:rFonts w:ascii="Arial Narrow" w:eastAsia="Arial Narrow" w:hAnsi="Arial Narrow" w:cs="Arial Narrow"/>
          <w:b/>
          <w:color w:val="222222"/>
          <w:sz w:val="22"/>
          <w:szCs w:val="22"/>
          <w:shd w:val="clear" w:color="auto" w:fill="F8F9FA"/>
        </w:rPr>
        <w:t>Naziv ugovora i referenca Publikacije (vidi t</w:t>
      </w:r>
      <w:r w:rsidR="003476DB" w:rsidRPr="003476DB">
        <w:rPr>
          <w:rFonts w:ascii="Arial Narrow" w:eastAsia="Arial Narrow" w:hAnsi="Arial Narrow" w:cs="Arial Narrow"/>
          <w:b/>
          <w:color w:val="222222"/>
          <w:sz w:val="22"/>
          <w:szCs w:val="22"/>
          <w:shd w:val="clear" w:color="auto" w:fill="F8F9FA"/>
        </w:rPr>
        <w:t>a</w:t>
      </w:r>
      <w:r w:rsidRPr="003476DB">
        <w:rPr>
          <w:rFonts w:ascii="Arial Narrow" w:eastAsia="Arial Narrow" w:hAnsi="Arial Narrow" w:cs="Arial Narrow"/>
          <w:b/>
          <w:color w:val="222222"/>
          <w:sz w:val="22"/>
          <w:szCs w:val="22"/>
          <w:shd w:val="clear" w:color="auto" w:fill="F8F9FA"/>
        </w:rPr>
        <w:t xml:space="preserve">čku 1. gore) moraju biti jasno označeni na omotnici koja sadrži ponudu i uvijek se moraju navesti </w:t>
      </w:r>
      <w:r w:rsidR="003476DB" w:rsidRPr="003476DB">
        <w:rPr>
          <w:rFonts w:ascii="Arial Narrow" w:eastAsia="Arial Narrow" w:hAnsi="Arial Narrow" w:cs="Arial Narrow"/>
          <w:b/>
          <w:color w:val="222222"/>
          <w:sz w:val="22"/>
          <w:szCs w:val="22"/>
          <w:shd w:val="clear" w:color="auto" w:fill="F8F9FA"/>
        </w:rPr>
        <w:t>u svim slijedećim prepiskama sa U</w:t>
      </w:r>
      <w:r w:rsidRPr="003476DB">
        <w:rPr>
          <w:rFonts w:ascii="Arial Narrow" w:eastAsia="Arial Narrow" w:hAnsi="Arial Narrow" w:cs="Arial Narrow"/>
          <w:b/>
          <w:color w:val="222222"/>
          <w:sz w:val="22"/>
          <w:szCs w:val="22"/>
          <w:shd w:val="clear" w:color="auto" w:fill="F8F9FA"/>
        </w:rPr>
        <w:t>govornim tijelom.</w:t>
      </w:r>
    </w:p>
    <w:p w:rsidR="007F3A2A" w:rsidRPr="003476DB" w:rsidRDefault="00427D02" w:rsidP="003476DB">
      <w:pPr>
        <w:pBdr>
          <w:top w:val="nil"/>
          <w:left w:val="nil"/>
          <w:bottom w:val="nil"/>
          <w:right w:val="nil"/>
          <w:between w:val="nil"/>
        </w:pBdr>
        <w:spacing w:line="240" w:lineRule="auto"/>
        <w:ind w:left="0" w:right="26" w:hanging="2"/>
        <w:jc w:val="both"/>
        <w:rPr>
          <w:rFonts w:ascii="Arial Narrow" w:hAnsi="Arial Narrow"/>
          <w:b/>
          <w:color w:val="000000"/>
          <w:sz w:val="22"/>
          <w:szCs w:val="22"/>
        </w:rPr>
      </w:pPr>
      <w:r w:rsidRPr="003476DB">
        <w:rPr>
          <w:rFonts w:ascii="Arial Narrow" w:hAnsi="Arial Narrow"/>
          <w:color w:val="000000"/>
          <w:sz w:val="22"/>
          <w:szCs w:val="22"/>
        </w:rPr>
        <w:t xml:space="preserve">Tenders submitted by any other means will not be considered. / </w:t>
      </w:r>
      <w:r w:rsidRPr="003476DB">
        <w:rPr>
          <w:rFonts w:ascii="Arial Narrow" w:hAnsi="Arial Narrow"/>
          <w:b/>
          <w:color w:val="000000"/>
          <w:sz w:val="22"/>
          <w:szCs w:val="22"/>
        </w:rPr>
        <w:t>Ponude podnesene na bilo koji drugi način neće biti razmatrane.</w:t>
      </w:r>
    </w:p>
    <w:p w:rsidR="007F3A2A" w:rsidRPr="003476DB" w:rsidRDefault="00427D02" w:rsidP="003476DB">
      <w:pPr>
        <w:widowControl/>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jc w:val="both"/>
        <w:rPr>
          <w:rFonts w:ascii="Arial Narrow" w:eastAsia="Arial Narrow" w:hAnsi="Arial Narrow" w:cs="Arial Narrow"/>
          <w:color w:val="222222"/>
          <w:sz w:val="22"/>
          <w:szCs w:val="22"/>
        </w:rPr>
      </w:pPr>
      <w:r w:rsidRPr="003476DB">
        <w:rPr>
          <w:rFonts w:ascii="Arial Narrow" w:eastAsia="Arial Narrow" w:hAnsi="Arial Narrow" w:cs="Arial Narrow"/>
          <w:color w:val="000000"/>
          <w:sz w:val="22"/>
          <w:szCs w:val="22"/>
        </w:rPr>
        <w:t>By submitting a tender candidates accept to receive notification of the outcome of the procedure by electronic means. Such notification shall be deemed to have been received on the date upon which the contracting authority sends it to the electronic address referred to in the tender. /</w:t>
      </w:r>
      <w:r w:rsidRPr="003476DB">
        <w:rPr>
          <w:rFonts w:ascii="Arial Narrow" w:eastAsia="Arial Narrow" w:hAnsi="Arial Narrow" w:cs="Arial Narrow"/>
          <w:color w:val="222222"/>
          <w:sz w:val="22"/>
          <w:szCs w:val="22"/>
        </w:rPr>
        <w:t xml:space="preserve"> </w:t>
      </w:r>
      <w:r w:rsidRPr="003476DB">
        <w:rPr>
          <w:rFonts w:ascii="Arial Narrow" w:eastAsia="Arial Narrow" w:hAnsi="Arial Narrow" w:cs="Arial Narrow"/>
          <w:b/>
          <w:color w:val="222222"/>
          <w:sz w:val="22"/>
          <w:szCs w:val="22"/>
        </w:rPr>
        <w:t>Prijavom na natječaj kandidati prihvaćaju primanje obavijesti o ishodu postupka elektroničkim putem. Smatra se da je takva obavijest za</w:t>
      </w:r>
      <w:r w:rsidR="00A571F9">
        <w:rPr>
          <w:rFonts w:ascii="Arial Narrow" w:eastAsia="Arial Narrow" w:hAnsi="Arial Narrow" w:cs="Arial Narrow"/>
          <w:b/>
          <w:color w:val="222222"/>
          <w:sz w:val="22"/>
          <w:szCs w:val="22"/>
        </w:rPr>
        <w:t>primljena na dan kad ju je Ugovorno</w:t>
      </w:r>
      <w:r w:rsidRPr="003476DB">
        <w:rPr>
          <w:rFonts w:ascii="Arial Narrow" w:eastAsia="Arial Narrow" w:hAnsi="Arial Narrow" w:cs="Arial Narrow"/>
          <w:b/>
          <w:color w:val="222222"/>
          <w:sz w:val="22"/>
          <w:szCs w:val="22"/>
        </w:rPr>
        <w:t xml:space="preserve"> tijelo poslalo na elektroničku adresu navedenu u natječaju.</w:t>
      </w:r>
    </w:p>
    <w:p w:rsidR="007F3A2A" w:rsidRPr="003476DB" w:rsidRDefault="007F3A2A" w:rsidP="003476DB">
      <w:pPr>
        <w:ind w:left="0" w:right="26" w:hanging="2"/>
        <w:jc w:val="both"/>
        <w:rPr>
          <w:rFonts w:ascii="Arial Narrow" w:hAnsi="Arial Narrow"/>
        </w:rPr>
      </w:pPr>
    </w:p>
    <w:p w:rsidR="007F3A2A" w:rsidRDefault="00427D02">
      <w:pPr>
        <w:numPr>
          <w:ilvl w:val="0"/>
          <w:numId w:val="2"/>
        </w:numPr>
        <w:ind w:left="0" w:right="1" w:hanging="2"/>
        <w:jc w:val="both"/>
        <w:rPr>
          <w:rFonts w:ascii="Arial Narrow" w:eastAsia="Arial Narrow" w:hAnsi="Arial Narrow" w:cs="Arial Narrow"/>
          <w:b/>
          <w:sz w:val="22"/>
          <w:szCs w:val="22"/>
        </w:rPr>
      </w:pPr>
      <w:r>
        <w:rPr>
          <w:rFonts w:ascii="Arial Narrow" w:eastAsia="Arial Narrow" w:hAnsi="Arial Narrow" w:cs="Arial Narrow"/>
          <w:sz w:val="22"/>
          <w:szCs w:val="22"/>
        </w:rPr>
        <w:t>Tender opening session</w:t>
      </w:r>
      <w:r>
        <w:rPr>
          <w:rFonts w:ascii="Arial Narrow" w:eastAsia="Arial Narrow" w:hAnsi="Arial Narrow" w:cs="Arial Narrow"/>
          <w:b/>
          <w:sz w:val="22"/>
          <w:szCs w:val="22"/>
        </w:rPr>
        <w:t xml:space="preserve"> / Otvaranje ponuda</w:t>
      </w:r>
    </w:p>
    <w:p w:rsidR="007F3A2A" w:rsidRPr="007B6F58" w:rsidRDefault="007B6F58">
      <w:pPr>
        <w:ind w:left="0" w:right="360" w:hanging="2"/>
        <w:jc w:val="both"/>
        <w:rPr>
          <w:rFonts w:ascii="Arial Narrow" w:eastAsia="Arial Narrow" w:hAnsi="Arial Narrow" w:cs="Arial Narrow"/>
        </w:rPr>
      </w:pPr>
      <w:r>
        <w:rPr>
          <w:rFonts w:ascii="Arial Narrow" w:eastAsia="Arial Narrow" w:hAnsi="Arial Narrow" w:cs="Arial Narrow"/>
        </w:rPr>
        <w:t>Institute of Public Health of the Federation Bosnia and Herzegovina</w:t>
      </w:r>
      <w:r w:rsidR="00427D02">
        <w:rPr>
          <w:rFonts w:ascii="Arial Narrow" w:eastAsia="Arial Narrow" w:hAnsi="Arial Narrow" w:cs="Arial Narrow"/>
        </w:rPr>
        <w:t xml:space="preserve"> /</w:t>
      </w:r>
      <w:r w:rsidR="00427D02">
        <w:rPr>
          <w:rFonts w:ascii="Arial Narrow" w:eastAsia="Arial Narrow" w:hAnsi="Arial Narrow" w:cs="Arial Narrow"/>
          <w:b/>
          <w:i/>
        </w:rPr>
        <w:t xml:space="preserve"> </w:t>
      </w:r>
      <w:r w:rsidR="000D1A4E" w:rsidRPr="007B6F58">
        <w:rPr>
          <w:rFonts w:ascii="Arial Narrow" w:eastAsia="Arial Narrow" w:hAnsi="Arial Narrow" w:cs="Arial Narrow"/>
          <w:b/>
        </w:rPr>
        <w:t>Zavod za javno zdravstvo Federacije Bosne i Hercegovine</w:t>
      </w:r>
      <w:r w:rsidR="00427D02" w:rsidRPr="007B6F58">
        <w:rPr>
          <w:rFonts w:ascii="Arial Narrow" w:eastAsia="Arial Narrow" w:hAnsi="Arial Narrow" w:cs="Arial Narrow"/>
          <w:b/>
        </w:rPr>
        <w:t xml:space="preserve"> </w:t>
      </w:r>
    </w:p>
    <w:p w:rsidR="007F3A2A" w:rsidRDefault="00427D02">
      <w:pPr>
        <w:ind w:left="0" w:right="360" w:hanging="2"/>
        <w:jc w:val="both"/>
        <w:rPr>
          <w:rFonts w:ascii="Arial Narrow" w:eastAsia="Arial Narrow" w:hAnsi="Arial Narrow" w:cs="Arial Narrow"/>
        </w:rPr>
      </w:pPr>
      <w:r>
        <w:rPr>
          <w:rFonts w:ascii="Arial Narrow" w:eastAsia="Arial Narrow" w:hAnsi="Arial Narrow" w:cs="Arial Narrow"/>
        </w:rPr>
        <w:t xml:space="preserve">Address / </w:t>
      </w:r>
      <w:r>
        <w:rPr>
          <w:rFonts w:ascii="Arial Narrow" w:eastAsia="Arial Narrow" w:hAnsi="Arial Narrow" w:cs="Arial Narrow"/>
          <w:b/>
        </w:rPr>
        <w:t>Adresa</w:t>
      </w:r>
      <w:r>
        <w:rPr>
          <w:rFonts w:ascii="Arial Narrow" w:eastAsia="Arial Narrow" w:hAnsi="Arial Narrow" w:cs="Arial Narrow"/>
        </w:rPr>
        <w:t xml:space="preserve">: </w:t>
      </w:r>
      <w:r w:rsidR="000D1A4E" w:rsidRPr="007B6F58">
        <w:rPr>
          <w:rFonts w:ascii="Arial Narrow" w:eastAsia="Arial Narrow" w:hAnsi="Arial Narrow" w:cs="Arial Narrow"/>
          <w:b/>
        </w:rPr>
        <w:t>Titova 9, 71000 Sarajevo</w:t>
      </w:r>
    </w:p>
    <w:p w:rsidR="007F3A2A" w:rsidRPr="007B6F58" w:rsidRDefault="000D1A4E">
      <w:pPr>
        <w:keepNext/>
        <w:keepLines/>
        <w:pBdr>
          <w:top w:val="nil"/>
          <w:left w:val="nil"/>
          <w:bottom w:val="nil"/>
          <w:right w:val="nil"/>
          <w:between w:val="nil"/>
        </w:pBdr>
        <w:spacing w:before="0" w:after="0" w:line="240" w:lineRule="auto"/>
        <w:ind w:left="0" w:right="357" w:hanging="2"/>
        <w:jc w:val="center"/>
        <w:rPr>
          <w:rFonts w:ascii="Arial Narrow" w:eastAsia="Arial Narrow" w:hAnsi="Arial Narrow" w:cs="Arial Narrow"/>
          <w:b/>
          <w:color w:val="000000"/>
          <w:sz w:val="22"/>
          <w:szCs w:val="22"/>
        </w:rPr>
      </w:pPr>
      <w:r w:rsidRPr="00EC0C19">
        <w:rPr>
          <w:rFonts w:ascii="Arial Narrow" w:eastAsia="Arial Narrow" w:hAnsi="Arial Narrow" w:cs="Arial Narrow"/>
          <w:b/>
          <w:sz w:val="22"/>
          <w:szCs w:val="22"/>
          <w:highlight w:val="yellow"/>
        </w:rPr>
        <w:t>27</w:t>
      </w:r>
      <w:r w:rsidR="00427D02" w:rsidRPr="00EC0C19">
        <w:rPr>
          <w:rFonts w:ascii="Arial Narrow" w:eastAsia="Arial Narrow" w:hAnsi="Arial Narrow" w:cs="Arial Narrow"/>
          <w:b/>
          <w:color w:val="000000"/>
          <w:sz w:val="22"/>
          <w:szCs w:val="22"/>
          <w:highlight w:val="yellow"/>
        </w:rPr>
        <w:t>/0</w:t>
      </w:r>
      <w:r w:rsidRPr="00EC0C19">
        <w:rPr>
          <w:rFonts w:ascii="Arial Narrow" w:eastAsia="Arial Narrow" w:hAnsi="Arial Narrow" w:cs="Arial Narrow"/>
          <w:b/>
          <w:sz w:val="22"/>
          <w:szCs w:val="22"/>
          <w:highlight w:val="yellow"/>
        </w:rPr>
        <w:t>9</w:t>
      </w:r>
      <w:r w:rsidR="00427D02" w:rsidRPr="00EC0C19">
        <w:rPr>
          <w:rFonts w:ascii="Arial Narrow" w:eastAsia="Arial Narrow" w:hAnsi="Arial Narrow" w:cs="Arial Narrow"/>
          <w:b/>
          <w:color w:val="000000"/>
          <w:sz w:val="22"/>
          <w:szCs w:val="22"/>
          <w:highlight w:val="yellow"/>
        </w:rPr>
        <w:t>/20</w:t>
      </w:r>
      <w:r w:rsidRPr="00EC0C19">
        <w:rPr>
          <w:rFonts w:ascii="Arial Narrow" w:eastAsia="Arial Narrow" w:hAnsi="Arial Narrow" w:cs="Arial Narrow"/>
          <w:b/>
          <w:sz w:val="22"/>
          <w:szCs w:val="22"/>
          <w:highlight w:val="yellow"/>
        </w:rPr>
        <w:t>21</w:t>
      </w:r>
      <w:r w:rsidR="00427D02" w:rsidRPr="00EC0C19">
        <w:rPr>
          <w:rFonts w:ascii="Arial Narrow" w:eastAsia="Arial Narrow" w:hAnsi="Arial Narrow" w:cs="Arial Narrow"/>
          <w:b/>
          <w:color w:val="000000"/>
          <w:sz w:val="22"/>
          <w:szCs w:val="22"/>
          <w:highlight w:val="yellow"/>
        </w:rPr>
        <w:t xml:space="preserve"> at / u 1</w:t>
      </w:r>
      <w:r w:rsidR="00427D02" w:rsidRPr="00EC0C19">
        <w:rPr>
          <w:rFonts w:ascii="Arial Narrow" w:eastAsia="Arial Narrow" w:hAnsi="Arial Narrow" w:cs="Arial Narrow"/>
          <w:b/>
          <w:sz w:val="22"/>
          <w:szCs w:val="22"/>
          <w:highlight w:val="yellow"/>
        </w:rPr>
        <w:t>2</w:t>
      </w:r>
      <w:r w:rsidR="00427D02" w:rsidRPr="00EC0C19">
        <w:rPr>
          <w:rFonts w:ascii="Arial Narrow" w:eastAsia="Arial Narrow" w:hAnsi="Arial Narrow" w:cs="Arial Narrow"/>
          <w:b/>
          <w:color w:val="000000"/>
          <w:sz w:val="22"/>
          <w:szCs w:val="22"/>
          <w:highlight w:val="yellow"/>
        </w:rPr>
        <w:t>:00</w:t>
      </w:r>
    </w:p>
    <w:p w:rsidR="007F3A2A" w:rsidRDefault="007F3A2A">
      <w:pPr>
        <w:keepNext/>
        <w:keepLines/>
        <w:pBdr>
          <w:top w:val="nil"/>
          <w:left w:val="nil"/>
          <w:bottom w:val="nil"/>
          <w:right w:val="nil"/>
          <w:between w:val="nil"/>
        </w:pBdr>
        <w:spacing w:before="0" w:after="0" w:line="240" w:lineRule="auto"/>
        <w:ind w:left="0" w:right="357" w:hanging="2"/>
        <w:jc w:val="center"/>
        <w:rPr>
          <w:rFonts w:ascii="Arial Narrow" w:eastAsia="Arial Narrow" w:hAnsi="Arial Narrow" w:cs="Arial Narrow"/>
          <w:color w:val="000000"/>
          <w:sz w:val="22"/>
          <w:szCs w:val="22"/>
        </w:rPr>
      </w:pPr>
    </w:p>
    <w:p w:rsidR="007F3A2A" w:rsidRDefault="00427D02">
      <w:pPr>
        <w:ind w:left="0" w:hanging="2"/>
        <w:jc w:val="both"/>
        <w:rPr>
          <w:rFonts w:ascii="Arial Narrow" w:eastAsia="Arial Narrow" w:hAnsi="Arial Narrow" w:cs="Arial Narrow"/>
          <w:sz w:val="22"/>
          <w:szCs w:val="22"/>
        </w:rPr>
      </w:pPr>
      <w:r>
        <w:br/>
      </w:r>
      <w:r>
        <w:rPr>
          <w:rFonts w:ascii="Arial Narrow" w:eastAsia="Arial Narrow" w:hAnsi="Arial Narrow" w:cs="Arial Narrow"/>
          <w:sz w:val="22"/>
          <w:szCs w:val="22"/>
        </w:rPr>
        <w:t xml:space="preserve">In the case that at the date of the opening session some tenders have not been delivered to the contracting authority but their representatives can show evidence that they have been sent on time, the contracting authority will allow them to participate in the first opening session and inform all representatives of the tenderers that a second opening session will be organised. </w:t>
      </w:r>
      <w:r>
        <w:rPr>
          <w:rFonts w:ascii="Arial Narrow" w:eastAsia="Arial Narrow" w:hAnsi="Arial Narrow" w:cs="Arial Narrow"/>
          <w:b/>
          <w:color w:val="222222"/>
          <w:sz w:val="22"/>
          <w:szCs w:val="22"/>
          <w:shd w:val="clear" w:color="auto" w:fill="F8F9FA"/>
        </w:rPr>
        <w:t>/ U slučaju da na dan otvaranja otvaranja neke ponude nisu dostavljene naruč</w:t>
      </w:r>
      <w:r w:rsidR="00FF6A37">
        <w:rPr>
          <w:rFonts w:ascii="Arial Narrow" w:eastAsia="Arial Narrow" w:hAnsi="Arial Narrow" w:cs="Arial Narrow"/>
          <w:b/>
          <w:color w:val="222222"/>
          <w:sz w:val="22"/>
          <w:szCs w:val="22"/>
          <w:shd w:val="clear" w:color="auto" w:fill="F8F9FA"/>
        </w:rPr>
        <w:t>iocu</w:t>
      </w:r>
      <w:r>
        <w:rPr>
          <w:rFonts w:ascii="Arial Narrow" w:eastAsia="Arial Narrow" w:hAnsi="Arial Narrow" w:cs="Arial Narrow"/>
          <w:b/>
          <w:color w:val="222222"/>
          <w:sz w:val="22"/>
          <w:szCs w:val="22"/>
          <w:shd w:val="clear" w:color="auto" w:fill="F8F9FA"/>
        </w:rPr>
        <w:t>, ali njihovi predstavnici mogu pokazati dokaz da s</w:t>
      </w:r>
      <w:r w:rsidR="00FF6A37">
        <w:rPr>
          <w:rFonts w:ascii="Arial Narrow" w:eastAsia="Arial Narrow" w:hAnsi="Arial Narrow" w:cs="Arial Narrow"/>
          <w:b/>
          <w:color w:val="222222"/>
          <w:sz w:val="22"/>
          <w:szCs w:val="22"/>
          <w:shd w:val="clear" w:color="auto" w:fill="F8F9FA"/>
        </w:rPr>
        <w:t xml:space="preserve">u poslani na vrijeme, naručilac </w:t>
      </w:r>
      <w:r>
        <w:rPr>
          <w:rFonts w:ascii="Arial Narrow" w:eastAsia="Arial Narrow" w:hAnsi="Arial Narrow" w:cs="Arial Narrow"/>
          <w:b/>
          <w:color w:val="222222"/>
          <w:sz w:val="22"/>
          <w:szCs w:val="22"/>
          <w:shd w:val="clear" w:color="auto" w:fill="F8F9FA"/>
        </w:rPr>
        <w:t xml:space="preserve">će im omogućiti sudjelovanje u prvom otvaranju i obavijestiti svim predstavnicima </w:t>
      </w:r>
      <w:r w:rsidR="00A36EF8">
        <w:rPr>
          <w:rFonts w:ascii="Arial Narrow" w:eastAsia="Arial Narrow" w:hAnsi="Arial Narrow" w:cs="Arial Narrow"/>
          <w:b/>
          <w:color w:val="222222"/>
          <w:sz w:val="22"/>
          <w:szCs w:val="22"/>
          <w:shd w:val="clear" w:color="auto" w:fill="F8F9FA"/>
        </w:rPr>
        <w:t>P</w:t>
      </w:r>
      <w:r>
        <w:rPr>
          <w:rFonts w:ascii="Arial Narrow" w:eastAsia="Arial Narrow" w:hAnsi="Arial Narrow" w:cs="Arial Narrow"/>
          <w:b/>
          <w:color w:val="222222"/>
          <w:sz w:val="22"/>
          <w:szCs w:val="22"/>
          <w:shd w:val="clear" w:color="auto" w:fill="F8F9FA"/>
        </w:rPr>
        <w:t>onu</w:t>
      </w:r>
      <w:r w:rsidR="00FF6A37">
        <w:rPr>
          <w:rFonts w:ascii="Arial Narrow" w:eastAsia="Arial Narrow" w:hAnsi="Arial Narrow" w:cs="Arial Narrow"/>
          <w:b/>
          <w:color w:val="222222"/>
          <w:sz w:val="22"/>
          <w:szCs w:val="22"/>
          <w:shd w:val="clear" w:color="auto" w:fill="F8F9FA"/>
        </w:rPr>
        <w:t>đača</w:t>
      </w:r>
      <w:r>
        <w:rPr>
          <w:rFonts w:ascii="Arial Narrow" w:eastAsia="Arial Narrow" w:hAnsi="Arial Narrow" w:cs="Arial Narrow"/>
          <w:b/>
          <w:color w:val="222222"/>
          <w:sz w:val="22"/>
          <w:szCs w:val="22"/>
          <w:shd w:val="clear" w:color="auto" w:fill="F8F9FA"/>
        </w:rPr>
        <w:t xml:space="preserve"> da će biti organizirano drugo otvaranje.</w:t>
      </w:r>
    </w:p>
    <w:p w:rsidR="007F3A2A" w:rsidRDefault="007F3A2A">
      <w:pPr>
        <w:keepNext/>
        <w:keepLines/>
        <w:pBdr>
          <w:top w:val="nil"/>
          <w:left w:val="nil"/>
          <w:bottom w:val="nil"/>
          <w:right w:val="nil"/>
          <w:between w:val="nil"/>
        </w:pBdr>
        <w:spacing w:before="0" w:after="0" w:line="240" w:lineRule="auto"/>
        <w:ind w:left="0" w:right="357" w:hanging="2"/>
        <w:jc w:val="center"/>
        <w:rPr>
          <w:rFonts w:ascii="Arial Narrow" w:eastAsia="Arial Narrow" w:hAnsi="Arial Narrow" w:cs="Arial Narrow"/>
          <w:color w:val="000000"/>
          <w:sz w:val="22"/>
          <w:szCs w:val="22"/>
        </w:rPr>
      </w:pPr>
    </w:p>
    <w:p w:rsidR="007F3A2A" w:rsidRDefault="00427D02">
      <w:pPr>
        <w:numPr>
          <w:ilvl w:val="0"/>
          <w:numId w:val="2"/>
        </w:numPr>
        <w:ind w:left="0" w:right="1" w:hanging="2"/>
        <w:jc w:val="both"/>
        <w:rPr>
          <w:rFonts w:ascii="Arial Narrow" w:eastAsia="Arial Narrow" w:hAnsi="Arial Narrow" w:cs="Arial Narrow"/>
          <w:b/>
          <w:sz w:val="22"/>
          <w:szCs w:val="22"/>
        </w:rPr>
      </w:pPr>
      <w:r>
        <w:rPr>
          <w:rFonts w:ascii="Arial Narrow" w:eastAsia="Arial Narrow" w:hAnsi="Arial Narrow" w:cs="Arial Narrow"/>
          <w:b/>
          <w:sz w:val="22"/>
          <w:szCs w:val="22"/>
        </w:rPr>
        <w:t>Language of the procedure</w:t>
      </w:r>
    </w:p>
    <w:p w:rsidR="007F3A2A" w:rsidRDefault="00427D02">
      <w:pPr>
        <w:pBdr>
          <w:top w:val="nil"/>
          <w:left w:val="nil"/>
          <w:bottom w:val="nil"/>
          <w:right w:val="nil"/>
          <w:between w:val="nil"/>
        </w:pBdr>
        <w:spacing w:line="240" w:lineRule="auto"/>
        <w:ind w:left="0" w:right="4" w:hanging="2"/>
        <w:jc w:val="both"/>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xml:space="preserve">All written communications for this tender procedure and contract must be in English or in one of languages in use in Bosnia and Herzegovina. / </w:t>
      </w:r>
      <w:r>
        <w:rPr>
          <w:rFonts w:ascii="Arial Narrow" w:eastAsia="Arial Narrow" w:hAnsi="Arial Narrow" w:cs="Arial Narrow"/>
          <w:b/>
          <w:color w:val="000000"/>
          <w:sz w:val="22"/>
          <w:szCs w:val="22"/>
        </w:rPr>
        <w:t>Sva pisana korespondencija u vezi s</w:t>
      </w:r>
      <w:r w:rsidR="001B2585">
        <w:rPr>
          <w:rFonts w:ascii="Arial Narrow" w:eastAsia="Arial Narrow" w:hAnsi="Arial Narrow" w:cs="Arial Narrow"/>
          <w:b/>
          <w:color w:val="000000"/>
          <w:sz w:val="22"/>
          <w:szCs w:val="22"/>
        </w:rPr>
        <w:t>a</w:t>
      </w:r>
      <w:r>
        <w:rPr>
          <w:rFonts w:ascii="Arial Narrow" w:eastAsia="Arial Narrow" w:hAnsi="Arial Narrow" w:cs="Arial Narrow"/>
          <w:b/>
          <w:color w:val="000000"/>
          <w:sz w:val="22"/>
          <w:szCs w:val="22"/>
        </w:rPr>
        <w:t xml:space="preserve"> ovom tenderskom procedurom i ugovorom mora biti na engleskom jeziku ili na jednom od jezika u upotrebi u Bosni i Hercegovini.</w:t>
      </w:r>
    </w:p>
    <w:p w:rsidR="00A36EF8" w:rsidRDefault="00A36EF8">
      <w:pPr>
        <w:pBdr>
          <w:top w:val="nil"/>
          <w:left w:val="nil"/>
          <w:bottom w:val="nil"/>
          <w:right w:val="nil"/>
          <w:between w:val="nil"/>
        </w:pBdr>
        <w:spacing w:line="240" w:lineRule="auto"/>
        <w:ind w:left="0" w:right="4" w:hanging="2"/>
        <w:jc w:val="both"/>
        <w:rPr>
          <w:rFonts w:ascii="Arial Narrow" w:eastAsia="Arial Narrow" w:hAnsi="Arial Narrow" w:cs="Arial Narrow"/>
          <w:color w:val="000000"/>
          <w:sz w:val="22"/>
          <w:szCs w:val="22"/>
        </w:rPr>
      </w:pPr>
    </w:p>
    <w:p w:rsidR="007F3A2A" w:rsidRDefault="00427D02">
      <w:pPr>
        <w:numPr>
          <w:ilvl w:val="0"/>
          <w:numId w:val="2"/>
        </w:numPr>
        <w:ind w:left="0" w:right="1" w:hanging="2"/>
        <w:jc w:val="both"/>
        <w:rPr>
          <w:rFonts w:ascii="Arial Narrow" w:eastAsia="Arial Narrow" w:hAnsi="Arial Narrow" w:cs="Arial Narrow"/>
          <w:b/>
          <w:sz w:val="22"/>
          <w:szCs w:val="22"/>
        </w:rPr>
      </w:pPr>
      <w:r>
        <w:rPr>
          <w:rFonts w:ascii="Arial Narrow" w:eastAsia="Arial Narrow" w:hAnsi="Arial Narrow" w:cs="Arial Narrow"/>
          <w:b/>
          <w:sz w:val="22"/>
          <w:szCs w:val="22"/>
        </w:rPr>
        <w:t>Legal basis</w:t>
      </w:r>
      <w:r>
        <w:rPr>
          <w:rFonts w:ascii="Arial Narrow" w:eastAsia="Arial Narrow" w:hAnsi="Arial Narrow" w:cs="Arial Narrow"/>
          <w:b/>
          <w:sz w:val="22"/>
          <w:szCs w:val="22"/>
          <w:vertAlign w:val="superscript"/>
        </w:rPr>
        <w:footnoteReference w:id="2"/>
      </w:r>
      <w:r>
        <w:rPr>
          <w:rFonts w:ascii="Arial Narrow" w:eastAsia="Arial Narrow" w:hAnsi="Arial Narrow" w:cs="Arial Narrow"/>
          <w:b/>
          <w:sz w:val="22"/>
          <w:szCs w:val="22"/>
        </w:rPr>
        <w:t xml:space="preserve"> Pravna osnova</w:t>
      </w:r>
    </w:p>
    <w:p w:rsidR="007F3A2A" w:rsidRPr="00DC1A94" w:rsidRDefault="00427D02" w:rsidP="00DC1A94">
      <w:pPr>
        <w:pBdr>
          <w:top w:val="nil"/>
          <w:left w:val="nil"/>
          <w:bottom w:val="nil"/>
          <w:right w:val="nil"/>
          <w:between w:val="nil"/>
        </w:pBdr>
        <w:spacing w:before="120" w:after="0" w:line="240" w:lineRule="auto"/>
        <w:ind w:left="0" w:right="310" w:hanging="2"/>
        <w:jc w:val="both"/>
        <w:rPr>
          <w:rFonts w:ascii="Arial Narrow" w:eastAsia="Arial Narrow" w:hAnsi="Arial Narrow" w:cs="Arial Narrow"/>
          <w:b/>
          <w:i/>
          <w:color w:val="000000"/>
          <w:sz w:val="22"/>
          <w:szCs w:val="22"/>
        </w:rPr>
      </w:pPr>
      <w:r>
        <w:rPr>
          <w:rFonts w:ascii="Arial Narrow" w:eastAsia="Arial Narrow" w:hAnsi="Arial Narrow" w:cs="Arial Narrow"/>
          <w:color w:val="000000"/>
          <w:sz w:val="22"/>
          <w:szCs w:val="22"/>
        </w:rPr>
        <w:t>Regulation</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 xml:space="preserve">(EU) N°236/2014 of the European Parliament and of the Council of 11 March 2014 laying down common rules and procedures for the implementation of the Union's instruments for financing external action and Regulation (EU) No 231/2014 of the European Parliament and of the Council of 11 March 2014 establishing an Instrument for Pre-accession Assistance (IPA II). / </w:t>
      </w:r>
      <w:r>
        <w:rPr>
          <w:rFonts w:ascii="Arial Narrow" w:eastAsia="Arial Narrow" w:hAnsi="Arial Narrow" w:cs="Arial Narrow"/>
          <w:b/>
          <w:i/>
          <w:color w:val="000000"/>
          <w:sz w:val="22"/>
          <w:szCs w:val="22"/>
        </w:rPr>
        <w:t>Uredba (EU) br. 236/2014 Europskog parlamenta i Vijeća od 11. marta 2014. o utvrđivanju zajedničkih pravila i procedura za primjenu instrumenata Unije za finansiranje eksternih akcija i Uredbe (EU) br. 231/2014 Europske unije Parlamenta i Vijeća od 11. marta 2014. godine o uspostavljanju Instrumenta pre</w:t>
      </w:r>
      <w:r w:rsidR="00DC1A94">
        <w:rPr>
          <w:rFonts w:ascii="Arial Narrow" w:eastAsia="Arial Narrow" w:hAnsi="Arial Narrow" w:cs="Arial Narrow"/>
          <w:b/>
          <w:i/>
          <w:color w:val="000000"/>
          <w:sz w:val="22"/>
          <w:szCs w:val="22"/>
        </w:rPr>
        <w:t>dpristupne</w:t>
      </w:r>
      <w:r>
        <w:rPr>
          <w:rFonts w:ascii="Arial Narrow" w:eastAsia="Arial Narrow" w:hAnsi="Arial Narrow" w:cs="Arial Narrow"/>
          <w:b/>
          <w:i/>
          <w:color w:val="000000"/>
          <w:sz w:val="22"/>
          <w:szCs w:val="22"/>
        </w:rPr>
        <w:t xml:space="preserve"> pomoći (IPA II).</w:t>
      </w:r>
    </w:p>
    <w:p w:rsidR="007F3A2A" w:rsidRDefault="007F3A2A">
      <w:pPr>
        <w:ind w:left="0" w:right="1" w:hanging="2"/>
        <w:jc w:val="both"/>
        <w:rPr>
          <w:b/>
        </w:rPr>
      </w:pPr>
    </w:p>
    <w:p w:rsidR="007F3A2A" w:rsidRPr="00DC1A94" w:rsidRDefault="00427D02">
      <w:pPr>
        <w:numPr>
          <w:ilvl w:val="0"/>
          <w:numId w:val="2"/>
        </w:numPr>
        <w:ind w:left="0" w:right="1" w:hanging="2"/>
        <w:jc w:val="both"/>
        <w:rPr>
          <w:rFonts w:ascii="Arial Narrow" w:hAnsi="Arial Narrow"/>
          <w:b/>
        </w:rPr>
      </w:pPr>
      <w:r w:rsidRPr="00DC1A94">
        <w:rPr>
          <w:rFonts w:ascii="Arial Narrow" w:hAnsi="Arial Narrow"/>
          <w:b/>
        </w:rPr>
        <w:t>Additional information</w:t>
      </w:r>
    </w:p>
    <w:p w:rsidR="007F3A2A" w:rsidRPr="00DC1A94" w:rsidRDefault="00427D02">
      <w:pPr>
        <w:widowControl/>
        <w:spacing w:after="0"/>
        <w:ind w:left="0" w:right="360" w:hanging="2"/>
        <w:jc w:val="both"/>
        <w:rPr>
          <w:rFonts w:ascii="Arial Narrow" w:hAnsi="Arial Narrow"/>
          <w:sz w:val="22"/>
          <w:szCs w:val="22"/>
        </w:rPr>
      </w:pPr>
      <w:r w:rsidRPr="00DC1A94">
        <w:rPr>
          <w:rFonts w:ascii="Arial Narrow" w:hAnsi="Arial Narrow"/>
          <w:sz w:val="22"/>
          <w:szCs w:val="22"/>
        </w:rPr>
        <w:t xml:space="preserve">Financial data to be provided by the tenderer in the standard tender form  must be expressed in </w:t>
      </w:r>
      <w:r w:rsidRPr="00DC1A94">
        <w:rPr>
          <w:rFonts w:ascii="Arial Narrow" w:hAnsi="Arial Narrow"/>
          <w:sz w:val="22"/>
          <w:szCs w:val="22"/>
          <w:highlight w:val="yellow"/>
        </w:rPr>
        <w:t>[</w:t>
      </w:r>
      <w:r w:rsidRPr="00DC1A94">
        <w:rPr>
          <w:rFonts w:ascii="Arial Narrow" w:hAnsi="Arial Narrow"/>
          <w:sz w:val="22"/>
          <w:szCs w:val="22"/>
          <w:highlight w:val="lightGray"/>
        </w:rPr>
        <w:t>EUR</w:t>
      </w:r>
      <w:r w:rsidRPr="00DC1A94">
        <w:rPr>
          <w:rFonts w:ascii="Arial Narrow" w:hAnsi="Arial Narrow"/>
          <w:sz w:val="22"/>
          <w:szCs w:val="22"/>
          <w:highlight w:val="yellow"/>
        </w:rPr>
        <w:t>] [&lt;ISO code of national currency&gt; only for indirect management in the following cases: (i) when legal or local constraints exceptionally impose using the national currency; (ii) when needed, for contracts within the imprest component of a programme estimate]</w:t>
      </w:r>
      <w:r w:rsidRPr="00DC1A94">
        <w:rPr>
          <w:rFonts w:ascii="Arial Narrow" w:hAnsi="Arial Narrow"/>
          <w:sz w:val="22"/>
          <w:szCs w:val="22"/>
        </w:rPr>
        <w:t xml:space="preserve">. If applicable, where a candidate refers to amounts originally expressed in a different currency, the conversion to </w:t>
      </w:r>
      <w:r w:rsidRPr="00DC1A94">
        <w:rPr>
          <w:rFonts w:ascii="Arial Narrow" w:hAnsi="Arial Narrow"/>
          <w:sz w:val="22"/>
          <w:szCs w:val="22"/>
          <w:highlight w:val="yellow"/>
        </w:rPr>
        <w:t>[</w:t>
      </w:r>
      <w:r w:rsidRPr="00DC1A94">
        <w:rPr>
          <w:rFonts w:ascii="Arial Narrow" w:hAnsi="Arial Narrow"/>
          <w:sz w:val="22"/>
          <w:szCs w:val="22"/>
          <w:highlight w:val="lightGray"/>
        </w:rPr>
        <w:t>EUR</w:t>
      </w:r>
      <w:r w:rsidRPr="00DC1A94">
        <w:rPr>
          <w:rFonts w:ascii="Arial Narrow" w:hAnsi="Arial Narrow"/>
          <w:sz w:val="22"/>
          <w:szCs w:val="22"/>
          <w:highlight w:val="yellow"/>
        </w:rPr>
        <w:t>] [&lt;ISO code of national currency&gt; only for indirect management in the following cases: (i) when legal or local constraints exceptionally impose using the national currency; (ii) when needed, for contracts within the imprest component of a programme estimate]</w:t>
      </w:r>
      <w:r w:rsidRPr="00DC1A94">
        <w:rPr>
          <w:rFonts w:ascii="Arial Narrow" w:hAnsi="Arial Narrow"/>
          <w:sz w:val="22"/>
          <w:szCs w:val="22"/>
        </w:rPr>
        <w:t xml:space="preserve"> shall be made in accordance with the InforEuro exchange rate of </w:t>
      </w:r>
      <w:r w:rsidRPr="00DC1A94">
        <w:rPr>
          <w:rFonts w:ascii="Arial Narrow" w:hAnsi="Arial Narrow"/>
          <w:sz w:val="22"/>
          <w:szCs w:val="22"/>
          <w:highlight w:val="yellow"/>
        </w:rPr>
        <w:t>[&lt;</w:t>
      </w:r>
      <w:r w:rsidRPr="00DC1A94">
        <w:rPr>
          <w:rFonts w:ascii="Arial Narrow" w:hAnsi="Arial Narrow"/>
          <w:b/>
          <w:sz w:val="22"/>
          <w:szCs w:val="22"/>
          <w:highlight w:val="yellow"/>
        </w:rPr>
        <w:t xml:space="preserve">MONTH and YEAR&gt; </w:t>
      </w:r>
      <w:r w:rsidRPr="00DC1A94">
        <w:rPr>
          <w:rFonts w:ascii="Arial Narrow" w:hAnsi="Arial Narrow"/>
          <w:sz w:val="22"/>
          <w:szCs w:val="22"/>
          <w:highlight w:val="yellow"/>
        </w:rPr>
        <w:t>of the applicable InforEuro exchange rate, which can either correspond to the month and year of the publication of the present contract notice or the month and year corresponding to the deadline for submitting applications</w:t>
      </w:r>
      <w:r w:rsidRPr="00DC1A94">
        <w:rPr>
          <w:rFonts w:ascii="Arial Narrow" w:hAnsi="Arial Narrow"/>
          <w:sz w:val="22"/>
          <w:szCs w:val="22"/>
        </w:rPr>
        <w:t xml:space="preserve">], which can be found at the following address: </w:t>
      </w:r>
      <w:hyperlink r:id="rId18">
        <w:r w:rsidRPr="00DC1A94">
          <w:rPr>
            <w:rFonts w:ascii="Arial Narrow" w:hAnsi="Arial Narrow"/>
            <w:color w:val="0000FF"/>
            <w:sz w:val="22"/>
            <w:szCs w:val="22"/>
            <w:u w:val="single"/>
          </w:rPr>
          <w:t>http://ec.europa.eu/budget/graphs/inforeuro.html</w:t>
        </w:r>
      </w:hyperlink>
      <w:r w:rsidRPr="00DC1A94">
        <w:rPr>
          <w:rFonts w:ascii="Arial Narrow" w:hAnsi="Arial Narrow"/>
          <w:sz w:val="22"/>
          <w:szCs w:val="22"/>
        </w:rPr>
        <w:t>.</w:t>
      </w:r>
    </w:p>
    <w:p w:rsidR="007F3A2A" w:rsidRDefault="00427D02">
      <w:pPr>
        <w:ind w:left="0" w:right="1" w:hanging="2"/>
        <w:jc w:val="both"/>
        <w:rPr>
          <w:rFonts w:ascii="Arial Narrow" w:eastAsia="Arial Narrow" w:hAnsi="Arial Narrow" w:cs="Arial Narrow"/>
          <w:sz w:val="22"/>
          <w:szCs w:val="22"/>
          <w:highlight w:val="lightGray"/>
        </w:rPr>
      </w:pPr>
      <w:r>
        <w:rPr>
          <w:rFonts w:ascii="Arial Narrow" w:eastAsia="Arial Narrow" w:hAnsi="Arial Narrow" w:cs="Arial Narrow"/>
          <w:sz w:val="22"/>
          <w:szCs w:val="22"/>
          <w:highlight w:val="lightGray"/>
        </w:rPr>
        <w:t xml:space="preserve"> </w:t>
      </w:r>
    </w:p>
    <w:sectPr w:rsidR="007F3A2A">
      <w:headerReference w:type="even" r:id="rId19"/>
      <w:headerReference w:type="default" r:id="rId20"/>
      <w:footerReference w:type="even" r:id="rId21"/>
      <w:footerReference w:type="default" r:id="rId22"/>
      <w:headerReference w:type="first" r:id="rId23"/>
      <w:footerReference w:type="first" r:id="rId24"/>
      <w:pgSz w:w="11907" w:h="16839"/>
      <w:pgMar w:top="1417" w:right="1417" w:bottom="1417" w:left="1417" w:header="1440" w:footer="53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6E4" w:rsidRDefault="004116E4">
      <w:pPr>
        <w:spacing w:before="0" w:after="0" w:line="240" w:lineRule="auto"/>
        <w:ind w:left="0" w:hanging="2"/>
      </w:pPr>
      <w:r>
        <w:separator/>
      </w:r>
    </w:p>
  </w:endnote>
  <w:endnote w:type="continuationSeparator" w:id="0">
    <w:p w:rsidR="004116E4" w:rsidRDefault="004116E4">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2A" w:rsidRDefault="00427D02">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7F3A2A" w:rsidRDefault="007F3A2A">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2A" w:rsidRDefault="000D1A4E">
    <w:pPr>
      <w:pBdr>
        <w:top w:val="nil"/>
        <w:left w:val="nil"/>
        <w:bottom w:val="nil"/>
        <w:right w:val="nil"/>
        <w:between w:val="nil"/>
      </w:pBdr>
      <w:tabs>
        <w:tab w:val="center" w:pos="4536"/>
        <w:tab w:val="right" w:pos="9072"/>
      </w:tabs>
      <w:spacing w:after="0" w:line="240" w:lineRule="auto"/>
      <w:ind w:left="0" w:right="357" w:hanging="2"/>
      <w:rPr>
        <w:color w:val="000000"/>
        <w:sz w:val="18"/>
        <w:szCs w:val="18"/>
      </w:rPr>
    </w:pPr>
    <w:r>
      <w:rPr>
        <w:b/>
        <w:color w:val="000000"/>
        <w:sz w:val="18"/>
        <w:szCs w:val="18"/>
      </w:rPr>
      <w:t>August, 2021</w:t>
    </w:r>
    <w:r w:rsidR="00427D02">
      <w:rPr>
        <w:color w:val="000000"/>
        <w:sz w:val="18"/>
        <w:szCs w:val="18"/>
      </w:rPr>
      <w:tab/>
      <w:t xml:space="preserve">Page </w:t>
    </w:r>
    <w:r w:rsidR="00427D02">
      <w:rPr>
        <w:color w:val="000000"/>
        <w:sz w:val="18"/>
        <w:szCs w:val="18"/>
      </w:rPr>
      <w:fldChar w:fldCharType="begin"/>
    </w:r>
    <w:r w:rsidR="00427D02">
      <w:rPr>
        <w:color w:val="000000"/>
        <w:sz w:val="18"/>
        <w:szCs w:val="18"/>
      </w:rPr>
      <w:instrText>PAGE</w:instrText>
    </w:r>
    <w:r w:rsidR="00427D02">
      <w:rPr>
        <w:color w:val="000000"/>
        <w:sz w:val="18"/>
        <w:szCs w:val="18"/>
      </w:rPr>
      <w:fldChar w:fldCharType="separate"/>
    </w:r>
    <w:r w:rsidR="00E4583E">
      <w:rPr>
        <w:noProof/>
        <w:color w:val="000000"/>
        <w:sz w:val="18"/>
        <w:szCs w:val="18"/>
      </w:rPr>
      <w:t>1</w:t>
    </w:r>
    <w:r w:rsidR="00427D02">
      <w:rPr>
        <w:color w:val="000000"/>
        <w:sz w:val="18"/>
        <w:szCs w:val="18"/>
      </w:rPr>
      <w:fldChar w:fldCharType="end"/>
    </w:r>
    <w:r w:rsidR="00427D02">
      <w:rPr>
        <w:color w:val="000000"/>
        <w:sz w:val="18"/>
        <w:szCs w:val="18"/>
      </w:rPr>
      <w:t xml:space="preserve"> of </w:t>
    </w:r>
    <w:r w:rsidR="00427D02">
      <w:rPr>
        <w:color w:val="000000"/>
        <w:sz w:val="18"/>
        <w:szCs w:val="18"/>
      </w:rPr>
      <w:fldChar w:fldCharType="begin"/>
    </w:r>
    <w:r w:rsidR="00427D02">
      <w:rPr>
        <w:color w:val="000000"/>
        <w:sz w:val="18"/>
        <w:szCs w:val="18"/>
      </w:rPr>
      <w:instrText>NUMPAGES</w:instrText>
    </w:r>
    <w:r w:rsidR="00427D02">
      <w:rPr>
        <w:color w:val="000000"/>
        <w:sz w:val="18"/>
        <w:szCs w:val="18"/>
      </w:rPr>
      <w:fldChar w:fldCharType="separate"/>
    </w:r>
    <w:r w:rsidR="00E4583E">
      <w:rPr>
        <w:noProof/>
        <w:color w:val="000000"/>
        <w:sz w:val="18"/>
        <w:szCs w:val="18"/>
      </w:rPr>
      <w:t>4</w:t>
    </w:r>
    <w:r w:rsidR="00427D02">
      <w:rPr>
        <w:color w:val="000000"/>
        <w:sz w:val="18"/>
        <w:szCs w:val="18"/>
      </w:rPr>
      <w:fldChar w:fldCharType="end"/>
    </w:r>
  </w:p>
  <w:p w:rsidR="007F3A2A" w:rsidRDefault="00427D02">
    <w:pPr>
      <w:pBdr>
        <w:top w:val="nil"/>
        <w:left w:val="nil"/>
        <w:bottom w:val="nil"/>
        <w:right w:val="nil"/>
        <w:between w:val="nil"/>
      </w:pBdr>
      <w:tabs>
        <w:tab w:val="center" w:pos="4536"/>
        <w:tab w:val="right" w:pos="9072"/>
      </w:tabs>
      <w:spacing w:before="0" w:line="240" w:lineRule="auto"/>
      <w:ind w:left="0" w:right="357" w:hanging="2"/>
      <w:rPr>
        <w:color w:val="000000"/>
        <w:sz w:val="18"/>
        <w:szCs w:val="18"/>
      </w:rPr>
    </w:pPr>
    <w:r>
      <w:rPr>
        <w:color w:val="000000"/>
        <w:sz w:val="18"/>
        <w:szCs w:val="18"/>
      </w:rPr>
      <w:t>c2_contractnotice_en_loc</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2A" w:rsidRDefault="007F3A2A">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6E4" w:rsidRDefault="004116E4">
      <w:pPr>
        <w:spacing w:before="0" w:after="0" w:line="240" w:lineRule="auto"/>
        <w:ind w:left="0" w:hanging="2"/>
      </w:pPr>
      <w:r>
        <w:separator/>
      </w:r>
    </w:p>
  </w:footnote>
  <w:footnote w:type="continuationSeparator" w:id="0">
    <w:p w:rsidR="004116E4" w:rsidRDefault="004116E4">
      <w:pPr>
        <w:spacing w:before="0" w:after="0" w:line="240" w:lineRule="auto"/>
        <w:ind w:left="0" w:hanging="2"/>
      </w:pPr>
      <w:r>
        <w:continuationSeparator/>
      </w:r>
    </w:p>
  </w:footnote>
  <w:footnote w:id="1">
    <w:p w:rsidR="007F3A2A" w:rsidRDefault="00427D02">
      <w:pPr>
        <w:pBdr>
          <w:top w:val="nil"/>
          <w:left w:val="nil"/>
          <w:bottom w:val="nil"/>
          <w:right w:val="nil"/>
          <w:between w:val="nil"/>
        </w:pBdr>
        <w:spacing w:line="240" w:lineRule="auto"/>
        <w:ind w:left="0" w:hanging="2"/>
        <w:rPr>
          <w:color w:val="000000"/>
          <w:sz w:val="20"/>
          <w:szCs w:val="20"/>
        </w:rPr>
      </w:pPr>
      <w:r>
        <w:rPr>
          <w:rStyle w:val="FootnoteReference"/>
        </w:rPr>
        <w:footnoteRef/>
      </w:r>
      <w:r>
        <w:rPr>
          <w:color w:val="000000"/>
          <w:sz w:val="20"/>
          <w:szCs w:val="20"/>
        </w:rPr>
        <w:t xml:space="preserve"> It is recommended to use registered mail in case the postmark would not be readable.</w:t>
      </w:r>
    </w:p>
  </w:footnote>
  <w:footnote w:id="2">
    <w:p w:rsidR="007F3A2A" w:rsidRPr="00D11FA1" w:rsidRDefault="00427D02">
      <w:pPr>
        <w:pBdr>
          <w:top w:val="nil"/>
          <w:left w:val="nil"/>
          <w:bottom w:val="nil"/>
          <w:right w:val="nil"/>
          <w:between w:val="nil"/>
        </w:pBdr>
        <w:spacing w:line="240" w:lineRule="auto"/>
        <w:ind w:left="0" w:hanging="2"/>
        <w:jc w:val="both"/>
        <w:rPr>
          <w:rFonts w:ascii="Arial Narrow" w:hAnsi="Arial Narrow"/>
          <w:color w:val="000000"/>
          <w:sz w:val="20"/>
          <w:szCs w:val="20"/>
        </w:rPr>
      </w:pPr>
      <w:r>
        <w:rPr>
          <w:rStyle w:val="FootnoteReference"/>
        </w:rPr>
        <w:footnoteRef/>
      </w:r>
      <w:r>
        <w:rPr>
          <w:color w:val="000000"/>
          <w:sz w:val="20"/>
          <w:szCs w:val="20"/>
        </w:rPr>
        <w:tab/>
      </w:r>
      <w:r w:rsidRPr="00D11FA1">
        <w:rPr>
          <w:rFonts w:ascii="Arial Narrow" w:hAnsi="Arial Narrow"/>
          <w:color w:val="000000"/>
          <w:sz w:val="20"/>
          <w:szCs w:val="20"/>
        </w:rPr>
        <w:t xml:space="preserve">Please state any specificity that might have an impact on rules on participation (such as geographic or thematic or long/short term). / </w:t>
      </w:r>
      <w:r w:rsidRPr="00D11FA1">
        <w:rPr>
          <w:rFonts w:ascii="Arial Narrow" w:eastAsia="Calibri" w:hAnsi="Arial Narrow" w:cs="Calibri"/>
          <w:b/>
          <w:color w:val="000000"/>
          <w:sz w:val="20"/>
          <w:szCs w:val="20"/>
        </w:rPr>
        <w:t>Molimo navedite bilo kakvu specifičnost koja bi mogla utjecati na pravila sudjelovanja</w:t>
      </w:r>
      <w:r w:rsidR="00D11FA1" w:rsidRPr="00D11FA1">
        <w:rPr>
          <w:rFonts w:ascii="Arial Narrow" w:eastAsia="Calibri" w:hAnsi="Arial Narrow" w:cs="Calibri"/>
          <w:b/>
          <w:color w:val="000000"/>
          <w:sz w:val="20"/>
          <w:szCs w:val="20"/>
        </w:rPr>
        <w:t xml:space="preserve"> </w:t>
      </w:r>
      <w:r w:rsidRPr="00D11FA1">
        <w:rPr>
          <w:rFonts w:ascii="Arial Narrow" w:eastAsia="Calibri" w:hAnsi="Arial Narrow" w:cs="Calibri"/>
          <w:b/>
          <w:color w:val="000000"/>
          <w:sz w:val="20"/>
          <w:szCs w:val="20"/>
        </w:rPr>
        <w:t>(kao što su geografske ili tematske ili dugoročne/kratkoročne)</w:t>
      </w:r>
      <w:r w:rsidR="00D11FA1" w:rsidRPr="00D11FA1">
        <w:rPr>
          <w:rFonts w:ascii="Arial Narrow" w:eastAsia="Calibri" w:hAnsi="Arial Narrow" w:cs="Calibri"/>
          <w:b/>
          <w:color w:val="000000"/>
          <w:sz w:val="20"/>
          <w:szCs w:val="20"/>
        </w:rPr>
        <w:t>.</w:t>
      </w:r>
      <w:r w:rsidRPr="00D11FA1">
        <w:rPr>
          <w:rFonts w:ascii="Arial Narrow" w:eastAsia="Calibri" w:hAnsi="Arial Narrow" w:cs="Calibri"/>
          <w:b/>
          <w:color w:val="000000"/>
          <w:sz w:val="20"/>
          <w:szCs w:val="20"/>
        </w:rPr>
        <w:t xml:space="preserve"> </w:t>
      </w:r>
    </w:p>
    <w:p w:rsidR="007F3A2A" w:rsidRDefault="007F3A2A">
      <w:pPr>
        <w:pBdr>
          <w:top w:val="nil"/>
          <w:left w:val="nil"/>
          <w:bottom w:val="nil"/>
          <w:right w:val="nil"/>
          <w:between w:val="nil"/>
        </w:pBdr>
        <w:spacing w:line="240" w:lineRule="auto"/>
        <w:ind w:left="0" w:hanging="2"/>
        <w:rPr>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2A" w:rsidRDefault="007F3A2A">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2A" w:rsidRDefault="00915485">
    <w:pPr>
      <w:pBdr>
        <w:top w:val="nil"/>
        <w:left w:val="nil"/>
        <w:bottom w:val="nil"/>
        <w:right w:val="nil"/>
        <w:between w:val="nil"/>
      </w:pBdr>
      <w:tabs>
        <w:tab w:val="center" w:pos="4536"/>
        <w:tab w:val="right" w:pos="9072"/>
      </w:tabs>
      <w:spacing w:line="240" w:lineRule="auto"/>
      <w:ind w:left="0" w:hanging="2"/>
      <w:rPr>
        <w:color w:val="000000"/>
      </w:rPr>
    </w:pPr>
    <w:r w:rsidRPr="00FE09F2">
      <w:rPr>
        <w:noProof/>
      </w:rPr>
      <w:drawing>
        <wp:anchor distT="0" distB="0" distL="114300" distR="114300" simplePos="0" relativeHeight="251660288" behindDoc="1" locked="0" layoutInCell="1" allowOverlap="1" wp14:anchorId="223D00C6" wp14:editId="19538087">
          <wp:simplePos x="0" y="0"/>
          <wp:positionH relativeFrom="column">
            <wp:posOffset>-337820</wp:posOffset>
          </wp:positionH>
          <wp:positionV relativeFrom="paragraph">
            <wp:posOffset>-742950</wp:posOffset>
          </wp:positionV>
          <wp:extent cx="3368040" cy="715950"/>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8040" cy="715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2A" w:rsidRDefault="007F3A2A">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7D6"/>
    <w:multiLevelType w:val="multilevel"/>
    <w:tmpl w:val="F9F828A6"/>
    <w:lvl w:ilvl="0">
      <w:start w:val="1"/>
      <w:numFmt w:val="decimal"/>
      <w:pStyle w:val="Heading2"/>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5"/>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86839F9"/>
    <w:multiLevelType w:val="multilevel"/>
    <w:tmpl w:val="8FFEA7DA"/>
    <w:lvl w:ilvl="0">
      <w:start w:val="110386384"/>
      <w:numFmt w:val="bullet"/>
      <w:lvlText w:val="●"/>
      <w:lvlJc w:val="left"/>
      <w:pPr>
        <w:ind w:left="720" w:hanging="360"/>
      </w:pPr>
      <w:rPr>
        <w:rFonts w:ascii="Noto Sans Symbols" w:eastAsia="Noto Sans Symbols" w:hAnsi="Noto Sans Symbols" w:cs="Noto Sans Symbols"/>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15:restartNumberingAfterBreak="0">
    <w:nsid w:val="647C36DA"/>
    <w:multiLevelType w:val="multilevel"/>
    <w:tmpl w:val="020269D8"/>
    <w:lvl w:ilvl="0">
      <w:start w:val="1"/>
      <w:numFmt w:val="decimal"/>
      <w:lvlText w:val="%1."/>
      <w:lvlJc w:val="left"/>
      <w:pPr>
        <w:ind w:left="644"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2A"/>
    <w:rsid w:val="000350AB"/>
    <w:rsid w:val="00040451"/>
    <w:rsid w:val="00041701"/>
    <w:rsid w:val="00082173"/>
    <w:rsid w:val="000D1A4E"/>
    <w:rsid w:val="000D1A75"/>
    <w:rsid w:val="00125211"/>
    <w:rsid w:val="0013438C"/>
    <w:rsid w:val="00142228"/>
    <w:rsid w:val="001B2585"/>
    <w:rsid w:val="001F7B96"/>
    <w:rsid w:val="00200C38"/>
    <w:rsid w:val="00200D40"/>
    <w:rsid w:val="00234C78"/>
    <w:rsid w:val="00241C78"/>
    <w:rsid w:val="002A74CF"/>
    <w:rsid w:val="00341B2E"/>
    <w:rsid w:val="003476DB"/>
    <w:rsid w:val="00394340"/>
    <w:rsid w:val="003F1B56"/>
    <w:rsid w:val="003F604D"/>
    <w:rsid w:val="00401DD4"/>
    <w:rsid w:val="004116E4"/>
    <w:rsid w:val="00427D02"/>
    <w:rsid w:val="004A090C"/>
    <w:rsid w:val="004D4625"/>
    <w:rsid w:val="0055730E"/>
    <w:rsid w:val="005A63FA"/>
    <w:rsid w:val="00624215"/>
    <w:rsid w:val="00643FFE"/>
    <w:rsid w:val="00676659"/>
    <w:rsid w:val="006F43BD"/>
    <w:rsid w:val="0072199A"/>
    <w:rsid w:val="00793248"/>
    <w:rsid w:val="007B6F58"/>
    <w:rsid w:val="007D0F98"/>
    <w:rsid w:val="007D7066"/>
    <w:rsid w:val="007F3A2A"/>
    <w:rsid w:val="008E44AB"/>
    <w:rsid w:val="00915485"/>
    <w:rsid w:val="00960600"/>
    <w:rsid w:val="009A23B9"/>
    <w:rsid w:val="00A32B17"/>
    <w:rsid w:val="00A36EF8"/>
    <w:rsid w:val="00A571F9"/>
    <w:rsid w:val="00A607FF"/>
    <w:rsid w:val="00AB1994"/>
    <w:rsid w:val="00AD1A71"/>
    <w:rsid w:val="00B00991"/>
    <w:rsid w:val="00B5561E"/>
    <w:rsid w:val="00B665B2"/>
    <w:rsid w:val="00B9615F"/>
    <w:rsid w:val="00BC4B3A"/>
    <w:rsid w:val="00CA00F1"/>
    <w:rsid w:val="00D06F0C"/>
    <w:rsid w:val="00D11FA1"/>
    <w:rsid w:val="00DC1A94"/>
    <w:rsid w:val="00E00FF6"/>
    <w:rsid w:val="00E41A46"/>
    <w:rsid w:val="00E43446"/>
    <w:rsid w:val="00E4583E"/>
    <w:rsid w:val="00E81E9B"/>
    <w:rsid w:val="00EC0C19"/>
    <w:rsid w:val="00EF4706"/>
    <w:rsid w:val="00F63225"/>
    <w:rsid w:val="00F90569"/>
    <w:rsid w:val="00FB6800"/>
    <w:rsid w:val="00F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6FFC7C-0E8E-44BC-B575-86504064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pPr>
        <w:widowControl w:val="0"/>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snapToGrid w:val="0"/>
      <w:position w:val="-1"/>
      <w:lang w:val="en-US"/>
    </w:rPr>
  </w:style>
  <w:style w:type="paragraph" w:styleId="Heading1">
    <w:name w:val="heading 1"/>
    <w:basedOn w:val="Normal"/>
    <w:next w:val="Normal"/>
    <w:pPr>
      <w:keepNext/>
      <w:spacing w:before="240" w:after="60"/>
    </w:pPr>
    <w:rPr>
      <w:rFonts w:ascii="Cambria" w:hAnsi="Cambria"/>
      <w:b/>
      <w:bCs/>
      <w:kern w:val="32"/>
      <w:sz w:val="32"/>
      <w:szCs w:val="32"/>
    </w:rPr>
  </w:style>
  <w:style w:type="paragraph" w:styleId="Heading2">
    <w:name w:val="heading 2"/>
    <w:basedOn w:val="Normal"/>
    <w:next w:val="Normal"/>
    <w:pPr>
      <w:keepNext/>
      <w:widowControl/>
      <w:numPr>
        <w:numId w:val="3"/>
      </w:numPr>
      <w:spacing w:before="240" w:after="120"/>
      <w:ind w:left="-1" w:hanging="1"/>
      <w:jc w:val="both"/>
      <w:outlineLvl w:val="1"/>
    </w:pPr>
    <w:rPr>
      <w:b/>
      <w:sz w:val="22"/>
      <w:szCs w:val="22"/>
    </w:rPr>
  </w:style>
  <w:style w:type="paragraph" w:styleId="Heading3">
    <w:name w:val="heading 3"/>
    <w:basedOn w:val="Normal"/>
    <w:next w:val="Normal"/>
    <w:pPr>
      <w:widowControl/>
      <w:numPr>
        <w:ilvl w:val="1"/>
        <w:numId w:val="3"/>
      </w:numPr>
      <w:spacing w:before="240" w:after="120"/>
      <w:ind w:left="-1" w:hanging="1"/>
      <w:jc w:val="both"/>
      <w:outlineLvl w:val="2"/>
    </w:pPr>
    <w:rPr>
      <w:snapToGrid/>
      <w:sz w:val="22"/>
      <w:szCs w:val="22"/>
    </w:rPr>
  </w:style>
  <w:style w:type="paragraph" w:styleId="Heading4">
    <w:name w:val="heading 4"/>
    <w:basedOn w:val="Normal"/>
    <w:next w:val="Normal"/>
    <w:pPr>
      <w:widowControl/>
      <w:spacing w:before="120" w:after="120"/>
      <w:ind w:left="1440"/>
      <w:jc w:val="both"/>
      <w:outlineLvl w:val="3"/>
    </w:pPr>
    <w:rPr>
      <w:sz w:val="22"/>
      <w:szCs w:val="22"/>
    </w:rPr>
  </w:style>
  <w:style w:type="paragraph" w:styleId="Heading5">
    <w:name w:val="heading 5"/>
    <w:basedOn w:val="Normal"/>
    <w:next w:val="Normal"/>
    <w:pPr>
      <w:widowControl/>
      <w:numPr>
        <w:ilvl w:val="3"/>
        <w:numId w:val="3"/>
      </w:numPr>
      <w:spacing w:before="240" w:after="120"/>
      <w:ind w:left="-1" w:hanging="1"/>
      <w:jc w:val="both"/>
      <w:outlineLvl w:val="4"/>
    </w:pPr>
    <w:rPr>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w w:val="100"/>
      <w:position w:val="-1"/>
      <w:effect w:val="none"/>
      <w:vertAlign w:val="baseline"/>
      <w:cs w:val="0"/>
      <w:em w:val="none"/>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w w:val="100"/>
      <w:position w:val="-1"/>
      <w:effect w:val="none"/>
      <w:vertAlign w:val="baseline"/>
      <w:cs w:val="0"/>
      <w:em w:val="none"/>
    </w:rPr>
  </w:style>
  <w:style w:type="character" w:customStyle="1" w:styleId="CODE">
    <w:name w:val="CODE"/>
    <w:rPr>
      <w:rFonts w:ascii="Courier New" w:hAnsi="Courier New"/>
      <w:w w:val="100"/>
      <w:position w:val="-1"/>
      <w:sz w:val="20"/>
      <w:effect w:val="none"/>
      <w:vertAlign w:val="baseline"/>
      <w:cs w:val="0"/>
      <w:em w:val="none"/>
    </w:rPr>
  </w:style>
  <w:style w:type="character" w:styleId="Emphasis">
    <w:name w:val="Emphasis"/>
    <w:rPr>
      <w:i/>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customStyle="1" w:styleId="Keyboard">
    <w:name w:val="Keyboard"/>
    <w:rPr>
      <w:rFonts w:ascii="Courier New" w:hAnsi="Courier New"/>
      <w:b/>
      <w:w w:val="100"/>
      <w:position w:val="-1"/>
      <w:sz w:val="20"/>
      <w:effect w:val="none"/>
      <w:vertAlign w:val="baseline"/>
      <w:cs w:val="0"/>
      <w:em w:val="non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1">
    <w:name w:val="z-Bottom of Form1"/>
    <w:next w:val="Normal"/>
    <w:pPr>
      <w:pBdr>
        <w:top w:val="double" w:sz="2" w:space="0" w:color="000000"/>
      </w:pBdr>
      <w:suppressAutoHyphens/>
      <w:spacing w:line="1" w:lineRule="atLeast"/>
      <w:ind w:leftChars="-1" w:left="-1" w:hangingChars="1" w:hanging="1"/>
      <w:jc w:val="center"/>
      <w:textDirection w:val="btLr"/>
      <w:textAlignment w:val="top"/>
      <w:outlineLvl w:val="0"/>
    </w:pPr>
    <w:rPr>
      <w:rFonts w:ascii="Arial" w:hAnsi="Arial"/>
      <w:snapToGrid w:val="0"/>
      <w:vanish/>
      <w:position w:val="-1"/>
      <w:sz w:val="16"/>
      <w:lang w:val="en-US"/>
    </w:rPr>
  </w:style>
  <w:style w:type="paragraph" w:customStyle="1" w:styleId="z-TopofForm1">
    <w:name w:val="z-Top of Form1"/>
    <w:next w:val="Normal"/>
    <w:pPr>
      <w:pBdr>
        <w:bottom w:val="double" w:sz="2" w:space="0" w:color="000000"/>
      </w:pBdr>
      <w:suppressAutoHyphens/>
      <w:spacing w:line="1" w:lineRule="atLeast"/>
      <w:ind w:leftChars="-1" w:left="-1" w:hangingChars="1" w:hanging="1"/>
      <w:jc w:val="center"/>
      <w:textDirection w:val="btLr"/>
      <w:textAlignment w:val="top"/>
      <w:outlineLvl w:val="0"/>
    </w:pPr>
    <w:rPr>
      <w:rFonts w:ascii="Arial" w:hAnsi="Arial"/>
      <w:snapToGrid w:val="0"/>
      <w:vanish/>
      <w:position w:val="-1"/>
      <w:sz w:val="16"/>
      <w:lang w:val="en-US"/>
    </w:rPr>
  </w:style>
  <w:style w:type="character" w:customStyle="1" w:styleId="Sample">
    <w:name w:val="Sample"/>
    <w:rPr>
      <w:rFonts w:ascii="Courier New" w:hAnsi="Courier New"/>
      <w:w w:val="100"/>
      <w:position w:val="-1"/>
      <w:effect w:val="none"/>
      <w:vertAlign w:val="baseline"/>
      <w:cs w:val="0"/>
      <w:em w:val="none"/>
    </w:rPr>
  </w:style>
  <w:style w:type="character" w:styleId="Strong">
    <w:name w:val="Strong"/>
    <w:rPr>
      <w:b/>
      <w:w w:val="100"/>
      <w:position w:val="-1"/>
      <w:effect w:val="none"/>
      <w:vertAlign w:val="baseline"/>
      <w:cs w:val="0"/>
      <w:em w:val="none"/>
    </w:rPr>
  </w:style>
  <w:style w:type="character" w:customStyle="1" w:styleId="Typewriter">
    <w:name w:val="Typewriter"/>
    <w:rPr>
      <w:rFonts w:ascii="Courier New" w:hAnsi="Courier New"/>
      <w:w w:val="100"/>
      <w:position w:val="-1"/>
      <w:sz w:val="20"/>
      <w:effect w:val="none"/>
      <w:vertAlign w:val="baseline"/>
      <w:cs w:val="0"/>
      <w:em w:val="none"/>
    </w:rPr>
  </w:style>
  <w:style w:type="character" w:customStyle="1" w:styleId="Variable">
    <w:name w:val="Variable"/>
    <w:rPr>
      <w:i/>
      <w:w w:val="100"/>
      <w:position w:val="-1"/>
      <w:effect w:val="none"/>
      <w:vertAlign w:val="baseline"/>
      <w:cs w:val="0"/>
      <w:em w:val="none"/>
    </w:rPr>
  </w:style>
  <w:style w:type="character" w:customStyle="1" w:styleId="HTMLMarkup">
    <w:name w:val="HTML Markup"/>
    <w:rPr>
      <w:vanish/>
      <w:color w:val="FF0000"/>
      <w:w w:val="100"/>
      <w:position w:val="-1"/>
      <w:effect w:val="none"/>
      <w:vertAlign w:val="baseline"/>
      <w:cs w:val="0"/>
      <w:em w:val="none"/>
    </w:rPr>
  </w:style>
  <w:style w:type="character" w:customStyle="1" w:styleId="Comment">
    <w:name w:val="Comment"/>
    <w:rPr>
      <w:vanish/>
      <w:w w:val="100"/>
      <w:position w:val="-1"/>
      <w:effect w:val="none"/>
      <w:vertAlign w:val="baseline"/>
      <w:cs w:val="0"/>
      <w:em w:val="none"/>
    </w:rPr>
  </w:style>
  <w:style w:type="paragraph" w:styleId="DocumentMap">
    <w:name w:val="Document Map"/>
    <w:basedOn w:val="Normal"/>
    <w:pPr>
      <w:shd w:val="clear" w:color="auto" w:fill="00008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customStyle="1" w:styleId="PRAGHeading2">
    <w:name w:val="PRAG Heading 2"/>
    <w:basedOn w:val="Normal"/>
    <w:pPr>
      <w:tabs>
        <w:tab w:val="num" w:pos="720"/>
      </w:tabs>
    </w:pPr>
  </w:style>
  <w:style w:type="paragraph" w:styleId="FootnoteText">
    <w:name w:val="footnote text"/>
    <w:basedOn w:val="Normal"/>
    <w:rPr>
      <w:sz w:val="20"/>
    </w:rPr>
  </w:style>
  <w:style w:type="character" w:customStyle="1" w:styleId="FootnoteTextChar">
    <w:name w:val="Footnote Text Char"/>
    <w:rPr>
      <w:snapToGrid/>
      <w:w w:val="100"/>
      <w:position w:val="-1"/>
      <w:effect w:val="none"/>
      <w:vertAlign w:val="baseline"/>
      <w:cs w:val="0"/>
      <w:em w:val="none"/>
      <w:lang w:val="en-US" w:eastAsia="en-US"/>
    </w:rPr>
  </w:style>
  <w:style w:type="character" w:styleId="FootnoteReference">
    <w:name w:val="footnote reference"/>
    <w:rPr>
      <w:w w:val="100"/>
      <w:position w:val="-1"/>
      <w:effect w:val="none"/>
      <w:vertAlign w:val="superscript"/>
      <w:cs w:val="0"/>
      <w:em w:val="none"/>
    </w:rPr>
  </w:style>
  <w:style w:type="character" w:customStyle="1" w:styleId="CommentReference1">
    <w:name w:val="Comment Reference1"/>
    <w:rPr>
      <w:w w:val="100"/>
      <w:position w:val="-1"/>
      <w:sz w:val="16"/>
      <w:szCs w:val="16"/>
      <w:effect w:val="none"/>
      <w:vertAlign w:val="baseline"/>
      <w:cs w:val="0"/>
      <w:em w:val="none"/>
    </w:rPr>
  </w:style>
  <w:style w:type="paragraph" w:customStyle="1" w:styleId="CommentText1">
    <w:name w:val="Comment Text1"/>
    <w:basedOn w:val="Normal"/>
    <w:rPr>
      <w:sz w:val="20"/>
    </w:rPr>
  </w:style>
  <w:style w:type="character" w:customStyle="1" w:styleId="CommentTextChar">
    <w:name w:val="Comment Text Char"/>
    <w:rPr>
      <w:snapToGrid/>
      <w:w w:val="100"/>
      <w:position w:val="-1"/>
      <w:effect w:val="none"/>
      <w:vertAlign w:val="baseline"/>
      <w:cs w:val="0"/>
      <w:em w:val="none"/>
      <w:lang w:val="en-US" w:eastAsia="en-US"/>
    </w:rPr>
  </w:style>
  <w:style w:type="paragraph" w:customStyle="1" w:styleId="CommentSubject1">
    <w:name w:val="Comment Subject1"/>
    <w:basedOn w:val="CommentText1"/>
    <w:next w:val="CommentText1"/>
    <w:rPr>
      <w:b/>
      <w:bCs/>
    </w:rPr>
  </w:style>
  <w:style w:type="character" w:customStyle="1" w:styleId="CommentSubjectChar">
    <w:name w:val="Comment Subject Char"/>
    <w:rPr>
      <w:b/>
      <w:bCs/>
      <w:snapToGrid/>
      <w:w w:val="100"/>
      <w:position w:val="-1"/>
      <w:effect w:val="none"/>
      <w:vertAlign w:val="baseline"/>
      <w:cs w:val="0"/>
      <w:em w:val="none"/>
      <w:lang w:val="en-US" w:eastAsia="en-US"/>
    </w:rPr>
  </w:style>
  <w:style w:type="paragraph" w:customStyle="1" w:styleId="Text1">
    <w:name w:val="Text 1"/>
    <w:basedOn w:val="Normal"/>
    <w:pPr>
      <w:widowControl/>
      <w:spacing w:before="120" w:after="120"/>
      <w:ind w:left="850"/>
      <w:jc w:val="both"/>
    </w:pPr>
    <w:rPr>
      <w:snapToGrid/>
      <w:szCs w:val="22"/>
      <w:lang w:val="en-GB"/>
    </w:rPr>
  </w:style>
  <w:style w:type="paragraph" w:customStyle="1" w:styleId="Text2">
    <w:name w:val="Text 2"/>
    <w:basedOn w:val="Normal"/>
    <w:pPr>
      <w:widowControl/>
      <w:spacing w:before="120" w:after="120"/>
      <w:ind w:left="1417"/>
      <w:jc w:val="both"/>
    </w:pPr>
    <w:rPr>
      <w:snapToGrid/>
      <w:szCs w:val="22"/>
      <w:lang w:val="en-GB"/>
    </w:rPr>
  </w:style>
  <w:style w:type="paragraph" w:styleId="BodyTextIndent">
    <w:name w:val="Body Text Indent"/>
    <w:basedOn w:val="Normal"/>
    <w:pPr>
      <w:widowControl/>
      <w:spacing w:before="0" w:after="120"/>
      <w:ind w:left="567"/>
      <w:jc w:val="both"/>
    </w:pPr>
    <w:rPr>
      <w:sz w:val="22"/>
    </w:rPr>
  </w:style>
  <w:style w:type="character" w:customStyle="1" w:styleId="BodyTextIndentChar">
    <w:name w:val="Body Text Indent Char"/>
    <w:rPr>
      <w:snapToGrid/>
      <w:w w:val="100"/>
      <w:position w:val="-1"/>
      <w:sz w:val="22"/>
      <w:effect w:val="none"/>
      <w:vertAlign w:val="baseline"/>
      <w:cs w:val="0"/>
      <w:em w:val="none"/>
      <w:lang w:eastAsia="en-US"/>
    </w:rPr>
  </w:style>
  <w:style w:type="character" w:customStyle="1" w:styleId="Heading2Char">
    <w:name w:val="Heading 2 Char"/>
    <w:rPr>
      <w:b/>
      <w:snapToGrid/>
      <w:w w:val="100"/>
      <w:position w:val="-1"/>
      <w:sz w:val="22"/>
      <w:szCs w:val="22"/>
      <w:effect w:val="none"/>
      <w:vertAlign w:val="baseline"/>
      <w:cs w:val="0"/>
      <w:em w:val="none"/>
      <w:lang w:eastAsia="en-US"/>
    </w:rPr>
  </w:style>
  <w:style w:type="character" w:customStyle="1" w:styleId="Heading3Char">
    <w:name w:val="Heading 3 Char"/>
    <w:rPr>
      <w:w w:val="100"/>
      <w:position w:val="-1"/>
      <w:sz w:val="22"/>
      <w:szCs w:val="22"/>
      <w:effect w:val="none"/>
      <w:vertAlign w:val="baseline"/>
      <w:cs w:val="0"/>
      <w:em w:val="none"/>
      <w:lang w:eastAsia="en-US"/>
    </w:rPr>
  </w:style>
  <w:style w:type="character" w:customStyle="1" w:styleId="Heading4Char">
    <w:name w:val="Heading 4 Char"/>
    <w:rPr>
      <w:snapToGrid/>
      <w:w w:val="100"/>
      <w:position w:val="-1"/>
      <w:sz w:val="22"/>
      <w:szCs w:val="22"/>
      <w:effect w:val="none"/>
      <w:vertAlign w:val="baseline"/>
      <w:cs w:val="0"/>
      <w:em w:val="none"/>
      <w:lang w:eastAsia="en-US"/>
    </w:rPr>
  </w:style>
  <w:style w:type="character" w:customStyle="1" w:styleId="Heading5Char">
    <w:name w:val="Heading 5 Char"/>
    <w:rPr>
      <w:snapToGrid/>
      <w:w w:val="100"/>
      <w:position w:val="-1"/>
      <w:sz w:val="22"/>
      <w:szCs w:val="22"/>
      <w:effect w:val="none"/>
      <w:vertAlign w:val="baseline"/>
      <w:cs w:val="0"/>
      <w:em w:val="none"/>
      <w:lang w:eastAsia="en-US"/>
    </w:rPr>
  </w:style>
  <w:style w:type="character" w:customStyle="1" w:styleId="Heading1Char">
    <w:name w:val="Heading 1 Char"/>
    <w:rPr>
      <w:rFonts w:ascii="Cambria" w:eastAsia="Times New Roman" w:hAnsi="Cambria" w:cs="Times New Roman"/>
      <w:b/>
      <w:bCs/>
      <w:snapToGrid/>
      <w:w w:val="100"/>
      <w:kern w:val="32"/>
      <w:position w:val="-1"/>
      <w:sz w:val="32"/>
      <w:szCs w:val="32"/>
      <w:effect w:val="none"/>
      <w:vertAlign w:val="baseline"/>
      <w:cs w:val="0"/>
      <w:em w:val="none"/>
      <w:lang w:val="en-US" w:eastAsia="en-US"/>
    </w:rPr>
  </w:style>
  <w:style w:type="character" w:customStyle="1" w:styleId="UnresolvedMention">
    <w:name w:val="Unresolved Mention"/>
    <w:qFormat/>
    <w:rPr>
      <w:color w:val="808080"/>
      <w:w w:val="100"/>
      <w:position w:val="-1"/>
      <w:effect w:val="none"/>
      <w:shd w:val="clear" w:color="auto" w:fill="E6E6E6"/>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snapToGrid w:val="0"/>
      <w:position w:val="-1"/>
      <w:lang w:val="en-US"/>
    </w:r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napToGrid/>
      <w:sz w:val="20"/>
      <w:lang w:val="hr-HR" w:eastAsia="hr-HR"/>
    </w:rPr>
  </w:style>
  <w:style w:type="character" w:customStyle="1" w:styleId="HTMLPreformattedChar">
    <w:name w:val="HTML Preformatted Char"/>
    <w:basedOn w:val="DefaultParagraphFont"/>
    <w:rPr>
      <w:rFonts w:ascii="Courier New" w:hAnsi="Courier New" w:cs="Courier New"/>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semiHidden/>
    <w:unhideWhenUsed/>
    <w:rsid w:val="00341B2E"/>
    <w:pPr>
      <w:widowControl/>
      <w:suppressAutoHyphens w:val="0"/>
      <w:spacing w:before="0" w:after="0" w:line="240" w:lineRule="auto"/>
      <w:ind w:leftChars="0" w:left="0" w:firstLineChars="0" w:firstLine="0"/>
      <w:textDirection w:val="lrTb"/>
      <w:textAlignment w:val="auto"/>
      <w:outlineLvl w:val="9"/>
    </w:pPr>
    <w:rPr>
      <w:rFonts w:ascii="Calibri" w:eastAsiaTheme="minorHAnsi" w:hAnsi="Calibri" w:cstheme="minorBidi"/>
      <w:snapToGrid/>
      <w:position w:val="0"/>
      <w:sz w:val="22"/>
      <w:szCs w:val="21"/>
    </w:rPr>
  </w:style>
  <w:style w:type="character" w:customStyle="1" w:styleId="PlainTextChar">
    <w:name w:val="Plain Text Char"/>
    <w:basedOn w:val="DefaultParagraphFont"/>
    <w:link w:val="PlainText"/>
    <w:uiPriority w:val="99"/>
    <w:semiHidden/>
    <w:rsid w:val="00341B2E"/>
    <w:rPr>
      <w:rFonts w:ascii="Calibri" w:eastAsiaTheme="minorHAnsi" w:hAnsi="Calibri" w:cstheme="minorBidi"/>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79147">
      <w:bodyDiv w:val="1"/>
      <w:marLeft w:val="0"/>
      <w:marRight w:val="0"/>
      <w:marTop w:val="0"/>
      <w:marBottom w:val="0"/>
      <w:divBdr>
        <w:top w:val="none" w:sz="0" w:space="0" w:color="auto"/>
        <w:left w:val="none" w:sz="0" w:space="0" w:color="auto"/>
        <w:bottom w:val="none" w:sz="0" w:space="0" w:color="auto"/>
        <w:right w:val="none" w:sz="0" w:space="0" w:color="auto"/>
      </w:divBdr>
    </w:div>
    <w:div w:id="123076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zzjzfbih.ba" TargetMode="External"/><Relationship Id="rId18" Type="http://schemas.openxmlformats.org/officeDocument/2006/relationships/hyperlink" Target="http://ec.europa.eu/budget/graphs/inforeuro.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s.sarac@zzjzfbih.b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kurtovic@zzjzfbih.b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sarac@zzjzfbih.ba" TargetMode="External"/><Relationship Id="rId23" Type="http://schemas.openxmlformats.org/officeDocument/2006/relationships/header" Target="header3.xml"/><Relationship Id="rId10" Type="http://schemas.openxmlformats.org/officeDocument/2006/relationships/image" Target="media/image6.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a.kurtovic@zzjzfbih.ba"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tbNSJLE9ffQSHzOVzZWVDUHcAQ==">AMUW2mWYFrbkx62TnKhsz/O03BT9Z8/PNNphodL0LEOytAApTwUKBQGIMQwFCT5fq2oWHsAyVzjNJoAiW8zPqK3qTE7cGiPRlna+BeO8b2Q/ek1LESlr4hL36mfrL5fIGbrPdXyB59Gc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4029</Words>
  <Characters>22968</Characters>
  <Application>Microsoft Office Word</Application>
  <DocSecurity>0</DocSecurity>
  <Lines>191</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BOURDILLEAU Anne (DEVCO)</dc:creator>
  <cp:lastModifiedBy>HP</cp:lastModifiedBy>
  <cp:revision>2</cp:revision>
  <cp:lastPrinted>2021-08-27T15:54:00Z</cp:lastPrinted>
  <dcterms:created xsi:type="dcterms:W3CDTF">2021-08-27T20:01:00Z</dcterms:created>
  <dcterms:modified xsi:type="dcterms:W3CDTF">2021-08-27T20:01:00Z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